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FD3B5">
      <w:pPr>
        <w:pStyle w:val="10"/>
        <w:keepNext w:val="0"/>
        <w:pageBreakBefore w:val="0"/>
        <w:rPr>
          <w:rFonts w:ascii="Times New Roman"/>
        </w:rPr>
      </w:pPr>
      <w:r>
        <w:rPr>
          <w:rFonts w:ascii="Times New Roman"/>
        </w:rPr>
        <w:t>编制说明</w:t>
      </w:r>
    </w:p>
    <w:tbl>
      <w:tblPr>
        <w:tblStyle w:val="7"/>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26"/>
        <w:gridCol w:w="2556"/>
        <w:gridCol w:w="1413"/>
        <w:gridCol w:w="1701"/>
        <w:gridCol w:w="1513"/>
      </w:tblGrid>
      <w:tr w14:paraId="2A58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pct"/>
            <w:gridSpan w:val="2"/>
            <w:vAlign w:val="center"/>
          </w:tcPr>
          <w:p w14:paraId="19799F3F">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标准名称</w:t>
            </w:r>
          </w:p>
        </w:tc>
        <w:tc>
          <w:tcPr>
            <w:tcW w:w="4036" w:type="pct"/>
            <w:gridSpan w:val="4"/>
            <w:vAlign w:val="center"/>
          </w:tcPr>
          <w:p w14:paraId="69DEFB37">
            <w:pPr>
              <w:widowControl/>
              <w:tabs>
                <w:tab w:val="center" w:pos="4201"/>
                <w:tab w:val="right" w:leader="dot" w:pos="9298"/>
              </w:tabs>
              <w:autoSpaceDE w:val="0"/>
              <w:autoSpaceDN w:val="0"/>
              <w:adjustRightInd w:val="0"/>
              <w:spacing w:line="360" w:lineRule="auto"/>
              <w:contextualSpacing/>
              <w:rPr>
                <w:kern w:val="0"/>
                <w:szCs w:val="21"/>
              </w:rPr>
            </w:pPr>
            <w:r>
              <w:rPr>
                <w:rFonts w:hint="eastAsia"/>
                <w:szCs w:val="21"/>
                <w:lang w:val="en-US" w:eastAsia="zh-CN"/>
              </w:rPr>
              <w:t>雪里蕻栽培技术规程</w:t>
            </w:r>
          </w:p>
        </w:tc>
      </w:tr>
      <w:tr w14:paraId="62B1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pct"/>
            <w:gridSpan w:val="2"/>
            <w:vAlign w:val="center"/>
          </w:tcPr>
          <w:p w14:paraId="1CEE7AEC">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任务来源</w:t>
            </w:r>
          </w:p>
          <w:p w14:paraId="03EE6E27">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（项目计划号）</w:t>
            </w:r>
          </w:p>
        </w:tc>
        <w:tc>
          <w:tcPr>
            <w:tcW w:w="4036" w:type="pct"/>
            <w:gridSpan w:val="4"/>
            <w:vAlign w:val="center"/>
          </w:tcPr>
          <w:p w14:paraId="6D048D68">
            <w:pPr>
              <w:widowControl/>
              <w:tabs>
                <w:tab w:val="center" w:pos="4201"/>
                <w:tab w:val="right" w:leader="dot" w:pos="9298"/>
              </w:tabs>
              <w:autoSpaceDE w:val="0"/>
              <w:autoSpaceDN w:val="0"/>
              <w:adjustRightInd w:val="0"/>
              <w:spacing w:line="360" w:lineRule="auto"/>
              <w:contextualSpacing/>
              <w:rPr>
                <w:kern w:val="0"/>
                <w:szCs w:val="21"/>
              </w:rPr>
            </w:pPr>
            <w:r>
              <w:rPr>
                <w:rFonts w:hint="eastAsia" w:ascii="宋体" w:hAnsi="宋体" w:eastAsia="宋体" w:cs="宋体"/>
                <w:b w:val="0"/>
                <w:bCs w:val="0"/>
                <w:color w:val="000000"/>
                <w:kern w:val="0"/>
                <w:sz w:val="21"/>
                <w:szCs w:val="21"/>
                <w:lang w:val="en-US" w:eastAsia="zh-CN" w:bidi="ar-SA"/>
              </w:rPr>
              <w:t>黄山市市场监督管理局《关于下达2024年度黄山市地方标准制修订计划的通知》，制定雪里蕻</w:t>
            </w:r>
            <w:r>
              <w:rPr>
                <w:rFonts w:hint="eastAsia" w:ascii="宋体" w:hAnsi="宋体" w:cs="宋体"/>
                <w:b w:val="0"/>
                <w:bCs w:val="0"/>
                <w:color w:val="000000"/>
                <w:kern w:val="0"/>
                <w:sz w:val="21"/>
                <w:szCs w:val="21"/>
                <w:lang w:val="en-US" w:eastAsia="zh-CN" w:bidi="ar-SA"/>
              </w:rPr>
              <w:t>栽培技术规程</w:t>
            </w:r>
            <w:r>
              <w:rPr>
                <w:rFonts w:hint="eastAsia" w:ascii="宋体" w:hAnsi="宋体" w:eastAsia="宋体" w:cs="宋体"/>
                <w:b w:val="0"/>
                <w:bCs w:val="0"/>
                <w:color w:val="000000"/>
                <w:kern w:val="0"/>
                <w:sz w:val="21"/>
                <w:szCs w:val="21"/>
                <w:lang w:val="en-US" w:eastAsia="zh-CN" w:bidi="ar-SA"/>
              </w:rPr>
              <w:t>地方标准</w:t>
            </w:r>
          </w:p>
        </w:tc>
      </w:tr>
      <w:tr w14:paraId="06E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pct"/>
            <w:gridSpan w:val="2"/>
            <w:vAlign w:val="center"/>
          </w:tcPr>
          <w:p w14:paraId="195BBB88">
            <w:pPr>
              <w:widowControl/>
              <w:tabs>
                <w:tab w:val="center" w:pos="4201"/>
                <w:tab w:val="right" w:leader="dot" w:pos="9298"/>
              </w:tabs>
              <w:autoSpaceDE w:val="0"/>
              <w:autoSpaceDN w:val="0"/>
              <w:adjustRightInd w:val="0"/>
              <w:spacing w:line="360" w:lineRule="auto"/>
              <w:contextualSpacing/>
              <w:jc w:val="center"/>
              <w:rPr>
                <w:b/>
                <w:kern w:val="0"/>
                <w:szCs w:val="21"/>
              </w:rPr>
            </w:pPr>
            <w:r>
              <w:rPr>
                <w:kern w:val="0"/>
                <w:szCs w:val="21"/>
              </w:rPr>
              <w:t>负责起草单位</w:t>
            </w:r>
          </w:p>
        </w:tc>
        <w:tc>
          <w:tcPr>
            <w:tcW w:w="4036" w:type="pct"/>
            <w:gridSpan w:val="4"/>
            <w:vAlign w:val="center"/>
          </w:tcPr>
          <w:p w14:paraId="6F36083A">
            <w:pPr>
              <w:widowControl/>
              <w:tabs>
                <w:tab w:val="center" w:pos="4201"/>
                <w:tab w:val="right" w:leader="dot" w:pos="9298"/>
              </w:tabs>
              <w:autoSpaceDE w:val="0"/>
              <w:autoSpaceDN w:val="0"/>
              <w:adjustRightInd w:val="0"/>
              <w:spacing w:line="360" w:lineRule="auto"/>
              <w:contextualSpacing/>
              <w:rPr>
                <w:kern w:val="0"/>
                <w:szCs w:val="21"/>
              </w:rPr>
            </w:pPr>
            <w:r>
              <w:rPr>
                <w:rFonts w:hint="eastAsia" w:ascii="宋体" w:hAnsi="宋体" w:eastAsia="宋体" w:cs="宋体"/>
                <w:b w:val="0"/>
                <w:bCs w:val="0"/>
                <w:color w:val="000000"/>
                <w:kern w:val="0"/>
                <w:sz w:val="21"/>
                <w:szCs w:val="21"/>
                <w:lang w:val="en-US" w:eastAsia="zh-CN" w:bidi="ar-SA"/>
              </w:rPr>
              <w:t>黄山市徽州区潜口镇澄塘村经济合作社</w:t>
            </w:r>
          </w:p>
        </w:tc>
      </w:tr>
      <w:tr w14:paraId="44AE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4" w:type="pct"/>
            <w:gridSpan w:val="2"/>
            <w:vAlign w:val="center"/>
          </w:tcPr>
          <w:p w14:paraId="53AD70FA">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单位地址</w:t>
            </w:r>
          </w:p>
        </w:tc>
        <w:tc>
          <w:tcPr>
            <w:tcW w:w="4036" w:type="pct"/>
            <w:gridSpan w:val="4"/>
            <w:vAlign w:val="center"/>
          </w:tcPr>
          <w:p w14:paraId="3FD40AC6">
            <w:pPr>
              <w:widowControl/>
              <w:tabs>
                <w:tab w:val="center" w:pos="4201"/>
                <w:tab w:val="right" w:leader="dot" w:pos="9298"/>
              </w:tabs>
              <w:autoSpaceDE w:val="0"/>
              <w:autoSpaceDN w:val="0"/>
              <w:adjustRightInd w:val="0"/>
              <w:spacing w:line="360" w:lineRule="auto"/>
              <w:contextualSpacing/>
              <w:rPr>
                <w:rFonts w:hint="eastAsia" w:eastAsia="宋体"/>
                <w:kern w:val="0"/>
                <w:szCs w:val="21"/>
                <w:lang w:val="en-US" w:eastAsia="zh-CN"/>
              </w:rPr>
            </w:pPr>
            <w:r>
              <w:rPr>
                <w:rFonts w:hint="eastAsia"/>
                <w:kern w:val="0"/>
                <w:szCs w:val="21"/>
                <w:lang w:val="en-US" w:eastAsia="zh-CN"/>
              </w:rPr>
              <w:t>黄山市</w:t>
            </w:r>
            <w:r>
              <w:rPr>
                <w:rFonts w:hint="eastAsia" w:ascii="宋体" w:hAnsi="宋体" w:eastAsia="宋体" w:cs="宋体"/>
                <w:b w:val="0"/>
                <w:bCs w:val="0"/>
                <w:color w:val="000000"/>
                <w:kern w:val="0"/>
                <w:sz w:val="21"/>
                <w:szCs w:val="21"/>
                <w:lang w:val="en-US" w:eastAsia="zh-CN" w:bidi="ar-SA"/>
              </w:rPr>
              <w:t>徽州区潜口镇澄塘村</w:t>
            </w:r>
          </w:p>
        </w:tc>
      </w:tr>
      <w:tr w14:paraId="491E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64" w:type="pct"/>
            <w:gridSpan w:val="2"/>
            <w:vAlign w:val="center"/>
          </w:tcPr>
          <w:p w14:paraId="69FEADCD">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参与起草单位</w:t>
            </w:r>
          </w:p>
        </w:tc>
        <w:tc>
          <w:tcPr>
            <w:tcW w:w="4036" w:type="pct"/>
            <w:gridSpan w:val="4"/>
            <w:vAlign w:val="center"/>
          </w:tcPr>
          <w:p w14:paraId="6A5E9246">
            <w:pPr>
              <w:pStyle w:val="6"/>
              <w:widowControl/>
              <w:shd w:val="clear" w:color="auto" w:fill="FFFFFF"/>
              <w:rPr>
                <w:rFonts w:hint="default" w:ascii="Times New Roman" w:hAnsi="Times New Roman"/>
                <w:color w:val="FF0000"/>
              </w:rPr>
            </w:pPr>
            <w:r>
              <w:rPr>
                <w:rFonts w:hint="eastAsia" w:ascii="Times New Roman" w:hAnsi="Times New Roman" w:eastAsia="宋体" w:cs="Times New Roman"/>
                <w:kern w:val="0"/>
                <w:sz w:val="21"/>
                <w:szCs w:val="21"/>
                <w:lang w:val="en-US" w:eastAsia="zh-CN" w:bidi="ar-SA"/>
              </w:rPr>
              <w:t>黄山市徽州区潜口镇人民政府、黄山市徽州区澄塘村集体经济发展有限公司、黄山市徽州区市场监督管理局、黄山市禾美科技创新发展有限公司、黄山市农业技术推广中心。</w:t>
            </w:r>
          </w:p>
        </w:tc>
      </w:tr>
      <w:tr w14:paraId="7D4C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EE7F5D5">
            <w:pPr>
              <w:widowControl/>
              <w:tabs>
                <w:tab w:val="center" w:pos="4201"/>
                <w:tab w:val="right" w:leader="dot" w:pos="9298"/>
              </w:tabs>
              <w:autoSpaceDE w:val="0"/>
              <w:autoSpaceDN w:val="0"/>
              <w:adjustRightInd w:val="0"/>
              <w:spacing w:line="360" w:lineRule="auto"/>
              <w:contextualSpacing/>
              <w:jc w:val="center"/>
              <w:rPr>
                <w:b/>
                <w:kern w:val="0"/>
                <w:szCs w:val="21"/>
              </w:rPr>
            </w:pPr>
            <w:r>
              <w:rPr>
                <w:b/>
                <w:kern w:val="0"/>
                <w:szCs w:val="21"/>
              </w:rPr>
              <w:t>标准起草人</w:t>
            </w:r>
          </w:p>
          <w:p w14:paraId="13CEBD9B">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（全部起草人，应与标准文本前言中起草人排序一致）</w:t>
            </w:r>
          </w:p>
        </w:tc>
      </w:tr>
      <w:tr w14:paraId="317E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7DABF56A">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序号</w:t>
            </w:r>
          </w:p>
        </w:tc>
        <w:tc>
          <w:tcPr>
            <w:tcW w:w="689" w:type="pct"/>
            <w:vAlign w:val="center"/>
          </w:tcPr>
          <w:p w14:paraId="48F2D387">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姓名</w:t>
            </w:r>
          </w:p>
        </w:tc>
        <w:tc>
          <w:tcPr>
            <w:tcW w:w="1436" w:type="pct"/>
            <w:vAlign w:val="center"/>
          </w:tcPr>
          <w:p w14:paraId="26A9AACD">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单位</w:t>
            </w:r>
          </w:p>
        </w:tc>
        <w:tc>
          <w:tcPr>
            <w:tcW w:w="794" w:type="pct"/>
            <w:vAlign w:val="center"/>
          </w:tcPr>
          <w:p w14:paraId="560A3C42">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职务</w:t>
            </w:r>
          </w:p>
        </w:tc>
        <w:tc>
          <w:tcPr>
            <w:tcW w:w="956" w:type="pct"/>
            <w:vAlign w:val="center"/>
          </w:tcPr>
          <w:p w14:paraId="61B69C3F">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职称</w:t>
            </w:r>
          </w:p>
        </w:tc>
        <w:tc>
          <w:tcPr>
            <w:tcW w:w="850" w:type="pct"/>
            <w:vAlign w:val="center"/>
          </w:tcPr>
          <w:p w14:paraId="359508C9">
            <w:pPr>
              <w:widowControl/>
              <w:tabs>
                <w:tab w:val="center" w:pos="4201"/>
                <w:tab w:val="right" w:leader="dot" w:pos="9298"/>
              </w:tabs>
              <w:autoSpaceDE w:val="0"/>
              <w:autoSpaceDN w:val="0"/>
              <w:adjustRightInd w:val="0"/>
              <w:spacing w:line="360" w:lineRule="auto"/>
              <w:contextualSpacing/>
              <w:jc w:val="center"/>
              <w:rPr>
                <w:kern w:val="0"/>
                <w:szCs w:val="21"/>
              </w:rPr>
            </w:pPr>
            <w:r>
              <w:rPr>
                <w:kern w:val="0"/>
                <w:szCs w:val="21"/>
              </w:rPr>
              <w:t>电话</w:t>
            </w:r>
          </w:p>
        </w:tc>
      </w:tr>
      <w:tr w14:paraId="0D0A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6901468F">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70FCDE19">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1436" w:type="pct"/>
            <w:vAlign w:val="center"/>
          </w:tcPr>
          <w:p w14:paraId="2FE1527B">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794" w:type="pct"/>
            <w:vAlign w:val="center"/>
          </w:tcPr>
          <w:p w14:paraId="7225F3A6">
            <w:pPr>
              <w:widowControl/>
              <w:tabs>
                <w:tab w:val="center" w:pos="4201"/>
                <w:tab w:val="right" w:leader="dot" w:pos="9298"/>
              </w:tabs>
              <w:autoSpaceDE w:val="0"/>
              <w:autoSpaceDN w:val="0"/>
              <w:adjustRightInd w:val="0"/>
              <w:spacing w:line="360" w:lineRule="auto"/>
              <w:contextualSpacing/>
              <w:jc w:val="center"/>
              <w:rPr>
                <w:rFonts w:hint="eastAsia" w:eastAsia="宋体"/>
                <w:kern w:val="0"/>
                <w:szCs w:val="21"/>
                <w:lang w:val="en-US" w:eastAsia="zh-CN"/>
              </w:rPr>
            </w:pPr>
            <w:bookmarkStart w:id="32" w:name="_GoBack"/>
            <w:bookmarkEnd w:id="32"/>
          </w:p>
        </w:tc>
        <w:tc>
          <w:tcPr>
            <w:tcW w:w="956" w:type="pct"/>
            <w:vAlign w:val="center"/>
          </w:tcPr>
          <w:p w14:paraId="350125A3">
            <w:pPr>
              <w:spacing w:line="360" w:lineRule="auto"/>
              <w:ind w:hanging="180"/>
              <w:jc w:val="center"/>
              <w:rPr>
                <w:color w:val="000000"/>
                <w:kern w:val="0"/>
                <w:szCs w:val="21"/>
              </w:rPr>
            </w:pPr>
          </w:p>
        </w:tc>
        <w:tc>
          <w:tcPr>
            <w:tcW w:w="850" w:type="pct"/>
            <w:vAlign w:val="center"/>
          </w:tcPr>
          <w:p w14:paraId="080D9B49">
            <w:pPr>
              <w:widowControl/>
              <w:tabs>
                <w:tab w:val="center" w:pos="4201"/>
                <w:tab w:val="right" w:leader="dot" w:pos="9298"/>
              </w:tabs>
              <w:autoSpaceDE w:val="0"/>
              <w:autoSpaceDN w:val="0"/>
              <w:adjustRightInd w:val="0"/>
              <w:spacing w:line="360" w:lineRule="auto"/>
              <w:contextualSpacing/>
              <w:jc w:val="center"/>
              <w:rPr>
                <w:kern w:val="0"/>
                <w:szCs w:val="21"/>
              </w:rPr>
            </w:pPr>
          </w:p>
        </w:tc>
      </w:tr>
      <w:tr w14:paraId="311E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1E89AD8B">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22D37A99">
            <w:pPr>
              <w:widowControl/>
              <w:tabs>
                <w:tab w:val="center" w:pos="4201"/>
                <w:tab w:val="right" w:leader="dot" w:pos="9298"/>
              </w:tabs>
              <w:autoSpaceDE w:val="0"/>
              <w:autoSpaceDN w:val="0"/>
              <w:adjustRightInd w:val="0"/>
              <w:spacing w:line="360" w:lineRule="auto"/>
              <w:contextualSpacing/>
              <w:jc w:val="center"/>
              <w:rPr>
                <w:szCs w:val="21"/>
              </w:rPr>
            </w:pPr>
          </w:p>
        </w:tc>
        <w:tc>
          <w:tcPr>
            <w:tcW w:w="1436" w:type="pct"/>
            <w:vAlign w:val="center"/>
          </w:tcPr>
          <w:p w14:paraId="261315E7">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794" w:type="pct"/>
            <w:vAlign w:val="center"/>
          </w:tcPr>
          <w:p w14:paraId="453BFBFC">
            <w:pPr>
              <w:widowControl/>
              <w:tabs>
                <w:tab w:val="center" w:pos="4201"/>
                <w:tab w:val="right" w:leader="dot" w:pos="9298"/>
              </w:tabs>
              <w:autoSpaceDE w:val="0"/>
              <w:autoSpaceDN w:val="0"/>
              <w:adjustRightInd w:val="0"/>
              <w:spacing w:line="360" w:lineRule="auto"/>
              <w:contextualSpacing/>
              <w:jc w:val="center"/>
              <w:rPr>
                <w:rFonts w:hint="default" w:eastAsia="宋体"/>
                <w:kern w:val="0"/>
                <w:szCs w:val="21"/>
                <w:lang w:val="en-US" w:eastAsia="zh-CN"/>
              </w:rPr>
            </w:pPr>
          </w:p>
        </w:tc>
        <w:tc>
          <w:tcPr>
            <w:tcW w:w="956" w:type="pct"/>
            <w:vAlign w:val="center"/>
          </w:tcPr>
          <w:p w14:paraId="293ECDD0">
            <w:pPr>
              <w:spacing w:line="360" w:lineRule="auto"/>
              <w:ind w:hanging="180"/>
              <w:jc w:val="center"/>
              <w:rPr>
                <w:color w:val="000000"/>
                <w:szCs w:val="21"/>
              </w:rPr>
            </w:pPr>
          </w:p>
        </w:tc>
        <w:tc>
          <w:tcPr>
            <w:tcW w:w="850" w:type="pct"/>
            <w:vAlign w:val="center"/>
          </w:tcPr>
          <w:p w14:paraId="696A612D">
            <w:pPr>
              <w:widowControl/>
              <w:tabs>
                <w:tab w:val="center" w:pos="4201"/>
                <w:tab w:val="right" w:leader="dot" w:pos="9298"/>
              </w:tabs>
              <w:autoSpaceDE w:val="0"/>
              <w:autoSpaceDN w:val="0"/>
              <w:adjustRightInd w:val="0"/>
              <w:spacing w:line="360" w:lineRule="auto"/>
              <w:contextualSpacing/>
              <w:jc w:val="center"/>
              <w:rPr>
                <w:kern w:val="0"/>
                <w:szCs w:val="21"/>
              </w:rPr>
            </w:pPr>
          </w:p>
        </w:tc>
      </w:tr>
      <w:tr w14:paraId="0EFD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1D1F6618">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589C6EF3">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1436" w:type="pct"/>
            <w:vAlign w:val="center"/>
          </w:tcPr>
          <w:p w14:paraId="04593E04">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794" w:type="pct"/>
            <w:vAlign w:val="center"/>
          </w:tcPr>
          <w:p w14:paraId="6EACDBD8">
            <w:pPr>
              <w:widowControl/>
              <w:tabs>
                <w:tab w:val="center" w:pos="4201"/>
                <w:tab w:val="right" w:leader="dot" w:pos="9298"/>
              </w:tabs>
              <w:autoSpaceDE w:val="0"/>
              <w:autoSpaceDN w:val="0"/>
              <w:adjustRightInd w:val="0"/>
              <w:spacing w:line="360" w:lineRule="auto"/>
              <w:contextualSpacing/>
              <w:jc w:val="center"/>
              <w:rPr>
                <w:rFonts w:hint="eastAsia" w:eastAsia="宋体"/>
                <w:kern w:val="0"/>
                <w:szCs w:val="21"/>
                <w:lang w:val="en-US" w:eastAsia="zh-CN"/>
              </w:rPr>
            </w:pPr>
          </w:p>
        </w:tc>
        <w:tc>
          <w:tcPr>
            <w:tcW w:w="956" w:type="pct"/>
            <w:vAlign w:val="center"/>
          </w:tcPr>
          <w:p w14:paraId="787AD6BD">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850" w:type="pct"/>
            <w:vAlign w:val="center"/>
          </w:tcPr>
          <w:p w14:paraId="1B8D18CF">
            <w:pPr>
              <w:widowControl/>
              <w:tabs>
                <w:tab w:val="center" w:pos="4201"/>
                <w:tab w:val="right" w:leader="dot" w:pos="9298"/>
              </w:tabs>
              <w:autoSpaceDE w:val="0"/>
              <w:autoSpaceDN w:val="0"/>
              <w:adjustRightInd w:val="0"/>
              <w:spacing w:line="360" w:lineRule="auto"/>
              <w:contextualSpacing/>
              <w:jc w:val="center"/>
              <w:rPr>
                <w:kern w:val="0"/>
                <w:szCs w:val="21"/>
              </w:rPr>
            </w:pPr>
          </w:p>
        </w:tc>
      </w:tr>
      <w:tr w14:paraId="511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61621FE4">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0C6E51B6">
            <w:pPr>
              <w:widowControl/>
              <w:tabs>
                <w:tab w:val="center" w:pos="4201"/>
                <w:tab w:val="right" w:leader="dot" w:pos="9298"/>
              </w:tabs>
              <w:autoSpaceDE w:val="0"/>
              <w:autoSpaceDN w:val="0"/>
              <w:adjustRightInd w:val="0"/>
              <w:spacing w:line="360" w:lineRule="auto"/>
              <w:contextualSpacing/>
              <w:jc w:val="center"/>
              <w:rPr>
                <w:szCs w:val="21"/>
              </w:rPr>
            </w:pPr>
          </w:p>
        </w:tc>
        <w:tc>
          <w:tcPr>
            <w:tcW w:w="1436" w:type="pct"/>
            <w:vAlign w:val="center"/>
          </w:tcPr>
          <w:p w14:paraId="7F416B76">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794" w:type="pct"/>
            <w:vAlign w:val="center"/>
          </w:tcPr>
          <w:p w14:paraId="0BC47E7D">
            <w:pPr>
              <w:widowControl/>
              <w:tabs>
                <w:tab w:val="center" w:pos="4201"/>
                <w:tab w:val="right" w:leader="dot" w:pos="9298"/>
              </w:tabs>
              <w:autoSpaceDE w:val="0"/>
              <w:autoSpaceDN w:val="0"/>
              <w:adjustRightInd w:val="0"/>
              <w:spacing w:line="360" w:lineRule="auto"/>
              <w:contextualSpacing/>
              <w:jc w:val="center"/>
              <w:rPr>
                <w:rFonts w:hint="eastAsia" w:eastAsia="宋体"/>
                <w:szCs w:val="21"/>
                <w:lang w:val="en-US" w:eastAsia="zh-CN"/>
              </w:rPr>
            </w:pPr>
          </w:p>
        </w:tc>
        <w:tc>
          <w:tcPr>
            <w:tcW w:w="956" w:type="pct"/>
            <w:vAlign w:val="center"/>
          </w:tcPr>
          <w:p w14:paraId="0C353530">
            <w:pPr>
              <w:widowControl/>
              <w:tabs>
                <w:tab w:val="center" w:pos="4201"/>
                <w:tab w:val="right" w:leader="dot" w:pos="9298"/>
              </w:tabs>
              <w:autoSpaceDE w:val="0"/>
              <w:autoSpaceDN w:val="0"/>
              <w:adjustRightInd w:val="0"/>
              <w:spacing w:line="360" w:lineRule="auto"/>
              <w:contextualSpacing/>
              <w:jc w:val="center"/>
              <w:rPr>
                <w:szCs w:val="21"/>
              </w:rPr>
            </w:pPr>
          </w:p>
        </w:tc>
        <w:tc>
          <w:tcPr>
            <w:tcW w:w="850" w:type="pct"/>
            <w:vAlign w:val="center"/>
          </w:tcPr>
          <w:p w14:paraId="7046399E">
            <w:pPr>
              <w:widowControl/>
              <w:tabs>
                <w:tab w:val="center" w:pos="4201"/>
                <w:tab w:val="right" w:leader="dot" w:pos="9298"/>
              </w:tabs>
              <w:autoSpaceDE w:val="0"/>
              <w:autoSpaceDN w:val="0"/>
              <w:adjustRightInd w:val="0"/>
              <w:spacing w:line="360" w:lineRule="auto"/>
              <w:contextualSpacing/>
              <w:jc w:val="center"/>
              <w:rPr>
                <w:color w:val="000000"/>
                <w:szCs w:val="21"/>
              </w:rPr>
            </w:pPr>
          </w:p>
        </w:tc>
      </w:tr>
      <w:tr w14:paraId="2550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54A9E267">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145F71DF">
            <w:pPr>
              <w:widowControl/>
              <w:tabs>
                <w:tab w:val="center" w:pos="4201"/>
                <w:tab w:val="right" w:leader="dot" w:pos="9298"/>
              </w:tabs>
              <w:autoSpaceDE w:val="0"/>
              <w:autoSpaceDN w:val="0"/>
              <w:adjustRightInd w:val="0"/>
              <w:spacing w:line="360" w:lineRule="auto"/>
              <w:contextualSpacing/>
              <w:jc w:val="center"/>
              <w:rPr>
                <w:szCs w:val="21"/>
              </w:rPr>
            </w:pPr>
          </w:p>
        </w:tc>
        <w:tc>
          <w:tcPr>
            <w:tcW w:w="1436" w:type="pct"/>
            <w:vAlign w:val="center"/>
          </w:tcPr>
          <w:p w14:paraId="2CA0336E">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794" w:type="pct"/>
            <w:vAlign w:val="center"/>
          </w:tcPr>
          <w:p w14:paraId="18E1DE60">
            <w:pPr>
              <w:widowControl/>
              <w:tabs>
                <w:tab w:val="center" w:pos="4201"/>
                <w:tab w:val="right" w:leader="dot" w:pos="9298"/>
              </w:tabs>
              <w:autoSpaceDE w:val="0"/>
              <w:autoSpaceDN w:val="0"/>
              <w:adjustRightInd w:val="0"/>
              <w:spacing w:line="360" w:lineRule="auto"/>
              <w:contextualSpacing/>
              <w:jc w:val="center"/>
              <w:rPr>
                <w:rFonts w:hint="eastAsia" w:eastAsia="宋体"/>
                <w:szCs w:val="21"/>
                <w:lang w:val="en-US" w:eastAsia="zh-CN"/>
              </w:rPr>
            </w:pPr>
          </w:p>
        </w:tc>
        <w:tc>
          <w:tcPr>
            <w:tcW w:w="956" w:type="pct"/>
            <w:vAlign w:val="center"/>
          </w:tcPr>
          <w:p w14:paraId="2C1CD36E">
            <w:pPr>
              <w:widowControl/>
              <w:tabs>
                <w:tab w:val="center" w:pos="4201"/>
                <w:tab w:val="right" w:leader="dot" w:pos="9298"/>
              </w:tabs>
              <w:autoSpaceDE w:val="0"/>
              <w:autoSpaceDN w:val="0"/>
              <w:adjustRightInd w:val="0"/>
              <w:spacing w:line="360" w:lineRule="auto"/>
              <w:contextualSpacing/>
              <w:jc w:val="center"/>
              <w:rPr>
                <w:szCs w:val="21"/>
              </w:rPr>
            </w:pPr>
          </w:p>
        </w:tc>
        <w:tc>
          <w:tcPr>
            <w:tcW w:w="850" w:type="pct"/>
            <w:vAlign w:val="center"/>
          </w:tcPr>
          <w:p w14:paraId="68E7F288">
            <w:pPr>
              <w:widowControl/>
              <w:tabs>
                <w:tab w:val="center" w:pos="4201"/>
                <w:tab w:val="right" w:leader="dot" w:pos="9298"/>
              </w:tabs>
              <w:autoSpaceDE w:val="0"/>
              <w:autoSpaceDN w:val="0"/>
              <w:adjustRightInd w:val="0"/>
              <w:spacing w:line="360" w:lineRule="auto"/>
              <w:contextualSpacing/>
              <w:jc w:val="center"/>
              <w:rPr>
                <w:color w:val="000000"/>
                <w:szCs w:val="21"/>
              </w:rPr>
            </w:pPr>
          </w:p>
        </w:tc>
      </w:tr>
      <w:tr w14:paraId="378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467ACF71">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70750A20">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1436" w:type="pct"/>
            <w:vAlign w:val="center"/>
          </w:tcPr>
          <w:p w14:paraId="551252ED">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794" w:type="pct"/>
            <w:vAlign w:val="center"/>
          </w:tcPr>
          <w:p w14:paraId="3B043E1E">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956" w:type="pct"/>
            <w:vAlign w:val="center"/>
          </w:tcPr>
          <w:p w14:paraId="2CCFCD95">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850" w:type="pct"/>
            <w:vAlign w:val="center"/>
          </w:tcPr>
          <w:p w14:paraId="3B0E87F3">
            <w:pPr>
              <w:widowControl/>
              <w:tabs>
                <w:tab w:val="center" w:pos="4201"/>
                <w:tab w:val="right" w:leader="dot" w:pos="9298"/>
              </w:tabs>
              <w:autoSpaceDE w:val="0"/>
              <w:autoSpaceDN w:val="0"/>
              <w:adjustRightInd w:val="0"/>
              <w:spacing w:line="360" w:lineRule="auto"/>
              <w:contextualSpacing/>
              <w:jc w:val="center"/>
              <w:rPr>
                <w:kern w:val="0"/>
                <w:szCs w:val="21"/>
              </w:rPr>
            </w:pPr>
          </w:p>
        </w:tc>
      </w:tr>
      <w:tr w14:paraId="27E7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62D3FA24">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79302D29">
            <w:pPr>
              <w:widowControl/>
              <w:tabs>
                <w:tab w:val="center" w:pos="4201"/>
                <w:tab w:val="right" w:leader="dot" w:pos="9298"/>
              </w:tabs>
              <w:autoSpaceDE w:val="0"/>
              <w:autoSpaceDN w:val="0"/>
              <w:adjustRightInd w:val="0"/>
              <w:spacing w:line="360" w:lineRule="auto"/>
              <w:contextualSpacing/>
              <w:jc w:val="center"/>
              <w:rPr>
                <w:szCs w:val="21"/>
              </w:rPr>
            </w:pPr>
          </w:p>
        </w:tc>
        <w:tc>
          <w:tcPr>
            <w:tcW w:w="1436" w:type="pct"/>
            <w:vAlign w:val="center"/>
          </w:tcPr>
          <w:p w14:paraId="48418849">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794" w:type="pct"/>
            <w:vAlign w:val="center"/>
          </w:tcPr>
          <w:p w14:paraId="1516453E">
            <w:pPr>
              <w:widowControl/>
              <w:tabs>
                <w:tab w:val="center" w:pos="4201"/>
                <w:tab w:val="right" w:leader="dot" w:pos="9298"/>
              </w:tabs>
              <w:autoSpaceDE w:val="0"/>
              <w:autoSpaceDN w:val="0"/>
              <w:adjustRightInd w:val="0"/>
              <w:spacing w:line="360" w:lineRule="auto"/>
              <w:contextualSpacing/>
              <w:jc w:val="center"/>
              <w:rPr>
                <w:szCs w:val="21"/>
              </w:rPr>
            </w:pPr>
          </w:p>
        </w:tc>
        <w:tc>
          <w:tcPr>
            <w:tcW w:w="956" w:type="pct"/>
            <w:vAlign w:val="center"/>
          </w:tcPr>
          <w:p w14:paraId="126B2482">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850" w:type="pct"/>
            <w:vAlign w:val="center"/>
          </w:tcPr>
          <w:p w14:paraId="33643F8E">
            <w:pPr>
              <w:widowControl/>
              <w:tabs>
                <w:tab w:val="center" w:pos="4201"/>
                <w:tab w:val="right" w:leader="dot" w:pos="9298"/>
              </w:tabs>
              <w:autoSpaceDE w:val="0"/>
              <w:autoSpaceDN w:val="0"/>
              <w:adjustRightInd w:val="0"/>
              <w:spacing w:line="360" w:lineRule="auto"/>
              <w:contextualSpacing/>
              <w:jc w:val="center"/>
              <w:rPr>
                <w:kern w:val="0"/>
                <w:szCs w:val="21"/>
              </w:rPr>
            </w:pPr>
          </w:p>
        </w:tc>
      </w:tr>
      <w:tr w14:paraId="04A7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232B6A02">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538E9D7A">
            <w:pPr>
              <w:widowControl/>
              <w:tabs>
                <w:tab w:val="center" w:pos="4201"/>
                <w:tab w:val="right" w:leader="dot" w:pos="9298"/>
              </w:tabs>
              <w:autoSpaceDE w:val="0"/>
              <w:autoSpaceDN w:val="0"/>
              <w:adjustRightInd w:val="0"/>
              <w:spacing w:line="360" w:lineRule="auto"/>
              <w:contextualSpacing/>
              <w:jc w:val="center"/>
              <w:rPr>
                <w:szCs w:val="21"/>
              </w:rPr>
            </w:pPr>
          </w:p>
        </w:tc>
        <w:tc>
          <w:tcPr>
            <w:tcW w:w="1436" w:type="pct"/>
          </w:tcPr>
          <w:p w14:paraId="213C277D">
            <w:pPr>
              <w:widowControl/>
              <w:tabs>
                <w:tab w:val="center" w:pos="4201"/>
                <w:tab w:val="right" w:leader="dot" w:pos="9298"/>
              </w:tabs>
              <w:autoSpaceDE w:val="0"/>
              <w:autoSpaceDN w:val="0"/>
              <w:adjustRightInd w:val="0"/>
              <w:spacing w:line="360" w:lineRule="auto"/>
              <w:contextualSpacing/>
              <w:jc w:val="center"/>
              <w:rPr>
                <w:color w:val="000000"/>
                <w:szCs w:val="21"/>
              </w:rPr>
            </w:pPr>
          </w:p>
        </w:tc>
        <w:tc>
          <w:tcPr>
            <w:tcW w:w="794" w:type="pct"/>
          </w:tcPr>
          <w:p w14:paraId="1BC3BBE8">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956" w:type="pct"/>
          </w:tcPr>
          <w:p w14:paraId="3F0C706C">
            <w:pPr>
              <w:widowControl/>
              <w:tabs>
                <w:tab w:val="center" w:pos="4201"/>
                <w:tab w:val="right" w:leader="dot" w:pos="9298"/>
              </w:tabs>
              <w:autoSpaceDE w:val="0"/>
              <w:autoSpaceDN w:val="0"/>
              <w:adjustRightInd w:val="0"/>
              <w:spacing w:line="360" w:lineRule="auto"/>
              <w:contextualSpacing/>
              <w:jc w:val="center"/>
              <w:rPr>
                <w:kern w:val="0"/>
                <w:szCs w:val="21"/>
              </w:rPr>
            </w:pPr>
          </w:p>
        </w:tc>
        <w:tc>
          <w:tcPr>
            <w:tcW w:w="850" w:type="pct"/>
          </w:tcPr>
          <w:p w14:paraId="5B41C177">
            <w:pPr>
              <w:widowControl/>
              <w:tabs>
                <w:tab w:val="center" w:pos="4201"/>
                <w:tab w:val="right" w:leader="dot" w:pos="9298"/>
              </w:tabs>
              <w:autoSpaceDE w:val="0"/>
              <w:autoSpaceDN w:val="0"/>
              <w:adjustRightInd w:val="0"/>
              <w:spacing w:line="360" w:lineRule="auto"/>
              <w:contextualSpacing/>
              <w:jc w:val="center"/>
              <w:rPr>
                <w:kern w:val="0"/>
                <w:szCs w:val="21"/>
              </w:rPr>
            </w:pPr>
          </w:p>
        </w:tc>
      </w:tr>
      <w:tr w14:paraId="60B1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5" w:type="pct"/>
            <w:vAlign w:val="center"/>
          </w:tcPr>
          <w:p w14:paraId="469D28A1">
            <w:pPr>
              <w:pStyle w:val="21"/>
              <w:widowControl/>
              <w:numPr>
                <w:ilvl w:val="0"/>
                <w:numId w:val="3"/>
              </w:numPr>
              <w:tabs>
                <w:tab w:val="center" w:pos="4201"/>
                <w:tab w:val="right" w:leader="dot" w:pos="9298"/>
              </w:tabs>
              <w:autoSpaceDE w:val="0"/>
              <w:autoSpaceDN w:val="0"/>
              <w:adjustRightInd w:val="0"/>
              <w:spacing w:line="360" w:lineRule="auto"/>
              <w:ind w:firstLineChars="0"/>
              <w:contextualSpacing/>
              <w:jc w:val="center"/>
              <w:rPr>
                <w:kern w:val="0"/>
                <w:szCs w:val="21"/>
              </w:rPr>
            </w:pPr>
          </w:p>
        </w:tc>
        <w:tc>
          <w:tcPr>
            <w:tcW w:w="689" w:type="pct"/>
            <w:vAlign w:val="center"/>
          </w:tcPr>
          <w:p w14:paraId="162C70F2">
            <w:pPr>
              <w:widowControl/>
              <w:tabs>
                <w:tab w:val="center" w:pos="4201"/>
                <w:tab w:val="right" w:leader="dot" w:pos="9298"/>
              </w:tabs>
              <w:autoSpaceDE w:val="0"/>
              <w:autoSpaceDN w:val="0"/>
              <w:adjustRightInd w:val="0"/>
              <w:spacing w:line="360" w:lineRule="auto"/>
              <w:contextualSpacing/>
              <w:jc w:val="center"/>
              <w:rPr>
                <w:szCs w:val="21"/>
              </w:rPr>
            </w:pPr>
          </w:p>
        </w:tc>
        <w:tc>
          <w:tcPr>
            <w:tcW w:w="1436" w:type="pct"/>
            <w:vAlign w:val="center"/>
          </w:tcPr>
          <w:p w14:paraId="41F5C031">
            <w:pPr>
              <w:widowControl/>
              <w:tabs>
                <w:tab w:val="center" w:pos="4201"/>
                <w:tab w:val="right" w:leader="dot" w:pos="9298"/>
              </w:tabs>
              <w:autoSpaceDE w:val="0"/>
              <w:autoSpaceDN w:val="0"/>
              <w:adjustRightInd w:val="0"/>
              <w:spacing w:line="360" w:lineRule="auto"/>
              <w:contextualSpacing/>
              <w:jc w:val="center"/>
            </w:pPr>
          </w:p>
        </w:tc>
        <w:tc>
          <w:tcPr>
            <w:tcW w:w="794" w:type="pct"/>
            <w:vAlign w:val="center"/>
          </w:tcPr>
          <w:p w14:paraId="0BDAEE32">
            <w:pPr>
              <w:widowControl/>
              <w:tabs>
                <w:tab w:val="center" w:pos="4201"/>
                <w:tab w:val="right" w:leader="dot" w:pos="9298"/>
              </w:tabs>
              <w:autoSpaceDE w:val="0"/>
              <w:autoSpaceDN w:val="0"/>
              <w:adjustRightInd w:val="0"/>
              <w:spacing w:line="360" w:lineRule="auto"/>
              <w:contextualSpacing/>
              <w:jc w:val="center"/>
              <w:rPr>
                <w:szCs w:val="21"/>
              </w:rPr>
            </w:pPr>
          </w:p>
        </w:tc>
        <w:tc>
          <w:tcPr>
            <w:tcW w:w="956" w:type="pct"/>
            <w:vAlign w:val="center"/>
          </w:tcPr>
          <w:p w14:paraId="68F0B832">
            <w:pPr>
              <w:widowControl/>
              <w:tabs>
                <w:tab w:val="center" w:pos="4201"/>
                <w:tab w:val="right" w:leader="dot" w:pos="9298"/>
              </w:tabs>
              <w:autoSpaceDE w:val="0"/>
              <w:autoSpaceDN w:val="0"/>
              <w:adjustRightInd w:val="0"/>
              <w:spacing w:line="360" w:lineRule="auto"/>
              <w:contextualSpacing/>
              <w:jc w:val="center"/>
              <w:rPr>
                <w:szCs w:val="21"/>
              </w:rPr>
            </w:pPr>
          </w:p>
        </w:tc>
        <w:tc>
          <w:tcPr>
            <w:tcW w:w="850" w:type="pct"/>
            <w:vAlign w:val="center"/>
          </w:tcPr>
          <w:p w14:paraId="75D753AA">
            <w:pPr>
              <w:widowControl/>
              <w:tabs>
                <w:tab w:val="center" w:pos="4201"/>
                <w:tab w:val="right" w:leader="dot" w:pos="9298"/>
              </w:tabs>
              <w:autoSpaceDE w:val="0"/>
              <w:autoSpaceDN w:val="0"/>
              <w:adjustRightInd w:val="0"/>
              <w:spacing w:line="360" w:lineRule="auto"/>
              <w:contextualSpacing/>
              <w:jc w:val="center"/>
              <w:rPr>
                <w:color w:val="000000"/>
                <w:szCs w:val="21"/>
              </w:rPr>
            </w:pPr>
          </w:p>
        </w:tc>
      </w:tr>
      <w:tr w14:paraId="1E88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000" w:type="pct"/>
            <w:gridSpan w:val="6"/>
            <w:vAlign w:val="center"/>
          </w:tcPr>
          <w:p w14:paraId="2ADA94BC">
            <w:pPr>
              <w:widowControl/>
              <w:tabs>
                <w:tab w:val="center" w:pos="4201"/>
                <w:tab w:val="right" w:leader="dot" w:pos="9298"/>
              </w:tabs>
              <w:autoSpaceDE w:val="0"/>
              <w:autoSpaceDN w:val="0"/>
              <w:adjustRightInd w:val="0"/>
              <w:spacing w:line="360" w:lineRule="auto"/>
              <w:contextualSpacing/>
              <w:jc w:val="center"/>
              <w:rPr>
                <w:b/>
                <w:kern w:val="0"/>
                <w:szCs w:val="21"/>
              </w:rPr>
            </w:pPr>
            <w:r>
              <w:rPr>
                <w:b/>
                <w:kern w:val="0"/>
                <w:szCs w:val="21"/>
              </w:rPr>
              <w:t>编制情况</w:t>
            </w:r>
          </w:p>
        </w:tc>
      </w:tr>
      <w:tr w14:paraId="6D7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E21B084">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1、编制过程简介</w:t>
            </w:r>
          </w:p>
        </w:tc>
      </w:tr>
      <w:tr w14:paraId="1BFD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33BFB0D7">
            <w:pPr>
              <w:spacing w:line="360" w:lineRule="auto"/>
              <w:ind w:firstLine="420" w:firstLineChars="200"/>
              <w:rPr>
                <w:szCs w:val="21"/>
              </w:rPr>
            </w:pPr>
            <w:r>
              <w:rPr>
                <w:szCs w:val="21"/>
              </w:rPr>
              <w:t>202</w:t>
            </w:r>
            <w:r>
              <w:rPr>
                <w:rFonts w:hint="eastAsia"/>
                <w:szCs w:val="21"/>
              </w:rPr>
              <w:t>4</w:t>
            </w:r>
            <w:r>
              <w:rPr>
                <w:szCs w:val="21"/>
              </w:rPr>
              <w:t>年9月</w:t>
            </w:r>
            <w:r>
              <w:rPr>
                <w:rFonts w:hint="eastAsia"/>
                <w:szCs w:val="21"/>
                <w:lang w:val="en-US" w:eastAsia="zh-CN"/>
              </w:rPr>
              <w:t>13</w:t>
            </w:r>
            <w:r>
              <w:rPr>
                <w:szCs w:val="21"/>
              </w:rPr>
              <w:t>日，收到</w:t>
            </w:r>
            <w:r>
              <w:rPr>
                <w:rFonts w:hint="eastAsia" w:ascii="宋体" w:hAnsi="宋体" w:eastAsia="宋体" w:cs="宋体"/>
                <w:b w:val="0"/>
                <w:bCs w:val="0"/>
                <w:color w:val="000000"/>
                <w:kern w:val="0"/>
                <w:sz w:val="21"/>
                <w:szCs w:val="21"/>
                <w:lang w:val="en-US" w:eastAsia="zh-CN" w:bidi="ar-SA"/>
              </w:rPr>
              <w:t>黄山市市场监督管理局《关于下达2024年度黄山市地方标准制修订计划的通知》</w:t>
            </w:r>
            <w:r>
              <w:rPr>
                <w:kern w:val="0"/>
                <w:szCs w:val="21"/>
              </w:rPr>
              <w:t>，随后</w:t>
            </w:r>
            <w:r>
              <w:rPr>
                <w:szCs w:val="21"/>
              </w:rPr>
              <w:t>成立标准编制小组，成员有</w:t>
            </w:r>
            <w:r>
              <w:rPr>
                <w:rFonts w:hint="eastAsia"/>
                <w:color w:val="auto"/>
                <w:lang w:val="en-US" w:eastAsia="zh-CN"/>
              </w:rPr>
              <w:t>姚勇、胡吉明、江东奇、邓红霞、鮑周明</w:t>
            </w:r>
            <w:r>
              <w:rPr>
                <w:szCs w:val="21"/>
              </w:rPr>
              <w:t>等人。</w:t>
            </w:r>
          </w:p>
          <w:p w14:paraId="782AC613">
            <w:pPr>
              <w:spacing w:line="360" w:lineRule="auto"/>
              <w:ind w:firstLine="422" w:firstLineChars="200"/>
              <w:rPr>
                <w:color w:val="000000"/>
                <w:szCs w:val="21"/>
              </w:rPr>
            </w:pPr>
            <w:r>
              <w:rPr>
                <w:b/>
                <w:bCs/>
                <w:color w:val="000000"/>
                <w:szCs w:val="21"/>
              </w:rPr>
              <w:t>标准起草过程：</w:t>
            </w:r>
            <w:r>
              <w:t>202</w:t>
            </w:r>
            <w:r>
              <w:rPr>
                <w:rFonts w:hint="eastAsia"/>
              </w:rPr>
              <w:t>4</w:t>
            </w:r>
            <w:r>
              <w:t>年</w:t>
            </w:r>
            <w:r>
              <w:rPr>
                <w:rFonts w:hint="eastAsia"/>
              </w:rPr>
              <w:t>9</w:t>
            </w:r>
            <w:r>
              <w:t>月，</w:t>
            </w:r>
            <w:r>
              <w:rPr>
                <w:rFonts w:hint="eastAsia" w:ascii="宋体" w:hAnsi="宋体" w:eastAsia="宋体" w:cs="宋体"/>
                <w:b w:val="0"/>
                <w:bCs w:val="0"/>
                <w:color w:val="000000"/>
                <w:kern w:val="0"/>
                <w:sz w:val="21"/>
                <w:szCs w:val="21"/>
                <w:lang w:val="en-US" w:eastAsia="zh-CN" w:bidi="ar-SA"/>
              </w:rPr>
              <w:t>黄山市徽州区潜口镇澄塘村经济合作社</w:t>
            </w:r>
            <w:r>
              <w:rPr>
                <w:color w:val="000000"/>
                <w:szCs w:val="21"/>
              </w:rPr>
              <w:t>联合</w:t>
            </w:r>
            <w:r>
              <w:rPr>
                <w:rFonts w:hint="eastAsia" w:ascii="Times New Roman" w:hAnsi="Times New Roman" w:eastAsia="宋体" w:cs="Times New Roman"/>
                <w:kern w:val="0"/>
                <w:sz w:val="21"/>
                <w:szCs w:val="21"/>
                <w:lang w:val="en-US" w:eastAsia="zh-CN" w:bidi="ar-SA"/>
              </w:rPr>
              <w:t>黄山市徽州区潜口镇人民政府、黄山市徽州区澄塘村集体经济发展有限公司、黄山市禾美科技创新发展有限公司、黄山市农业技术推广中心</w:t>
            </w:r>
            <w:r>
              <w:rPr>
                <w:color w:val="000000"/>
                <w:szCs w:val="21"/>
              </w:rPr>
              <w:t>成立了标准制定工作小组，分工负责标准起草相关工作</w:t>
            </w:r>
            <w:r>
              <w:rPr>
                <w:rFonts w:hint="eastAsia"/>
                <w:color w:val="000000"/>
                <w:szCs w:val="21"/>
              </w:rPr>
              <w:t>，</w:t>
            </w:r>
            <w:r>
              <w:rPr>
                <w:color w:val="000000"/>
                <w:szCs w:val="21"/>
              </w:rPr>
              <w:t>编制小组以科学、规范、可操作性强为原则，</w:t>
            </w:r>
            <w:r>
              <w:rPr>
                <w:kern w:val="0"/>
                <w:szCs w:val="21"/>
              </w:rPr>
              <w:t>按GB/T1.1-2020《标准化工作导则 第1部分：标准化文件的结构和起草规则》</w:t>
            </w:r>
            <w:r>
              <w:rPr>
                <w:color w:val="000000"/>
                <w:szCs w:val="21"/>
              </w:rPr>
              <w:t>起草本标准，采取召开座谈会、发电子邮件等方式，征求起草单位、相关企业等行业内的专家意见和建议，完成了本标准征求意见稿</w:t>
            </w:r>
            <w:r>
              <w:rPr>
                <w:szCs w:val="21"/>
              </w:rPr>
              <w:t>。</w:t>
            </w:r>
          </w:p>
        </w:tc>
      </w:tr>
      <w:tr w14:paraId="69E0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0117C78">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2、制定标准的</w:t>
            </w:r>
            <w:bookmarkStart w:id="0" w:name="OLE_LINK1"/>
            <w:bookmarkStart w:id="1" w:name="OLE_LINK2"/>
            <w:r>
              <w:rPr>
                <w:kern w:val="0"/>
                <w:szCs w:val="21"/>
              </w:rPr>
              <w:t>必要性</w:t>
            </w:r>
            <w:bookmarkEnd w:id="0"/>
            <w:bookmarkEnd w:id="1"/>
            <w:r>
              <w:rPr>
                <w:kern w:val="0"/>
                <w:szCs w:val="21"/>
              </w:rPr>
              <w:t>和意义</w:t>
            </w:r>
          </w:p>
        </w:tc>
      </w:tr>
      <w:tr w14:paraId="4DFB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31A2503B">
            <w:pPr>
              <w:widowControl/>
              <w:tabs>
                <w:tab w:val="center" w:pos="4201"/>
                <w:tab w:val="right" w:leader="dot" w:pos="9298"/>
              </w:tabs>
              <w:autoSpaceDE w:val="0"/>
              <w:autoSpaceDN w:val="0"/>
              <w:adjustRightInd w:val="0"/>
              <w:spacing w:line="360" w:lineRule="auto"/>
              <w:contextualSpacing/>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雪里蕻是十字花科芸薹属芥菜种中以叶为主要产品、供加工用的一类蔬菜。花叶品种叶片缺裂较深，板叶品种叶全缘有锯齿。叶数因品种不同相差悬殊。雪里蕻叶子含9种维生素，7种矿物质，与饮食和蛋白质相关的纤维，可以抵御身体内的自由基。它们浓缩了β-胡萝卜素和三种抗氧化剂（维生素E，A，C）。雪里蕻主要功效：解毒消肿，开胃消食，温中利气。明目利膈。主治疮痈肿痛，胸隔满闷，咳嗽痰多，耳目失聪，牙龈肿烂，便秘等病症。</w:t>
            </w:r>
          </w:p>
          <w:p w14:paraId="0DF16CA9">
            <w:pPr>
              <w:widowControl/>
              <w:tabs>
                <w:tab w:val="center" w:pos="4201"/>
                <w:tab w:val="right" w:leader="dot" w:pos="9298"/>
              </w:tabs>
              <w:autoSpaceDE w:val="0"/>
              <w:autoSpaceDN w:val="0"/>
              <w:adjustRightInd w:val="0"/>
              <w:spacing w:line="360" w:lineRule="auto"/>
              <w:contextualSpacing/>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陈村地处徽州腹地平原，腌菜历史久远，明代陈村名医吴崐的著作里就有提到其每日食用腌齑苦读医书的经历，至清代因陈村培育的雪里蕻品质好，腌制技术高，“澄塘腌齑”已经是享誉徽州的品牌。</w:t>
            </w:r>
          </w:p>
          <w:p w14:paraId="09F8706F">
            <w:pPr>
              <w:widowControl/>
              <w:tabs>
                <w:tab w:val="center" w:pos="4201"/>
                <w:tab w:val="right" w:leader="dot" w:pos="9298"/>
              </w:tabs>
              <w:autoSpaceDE w:val="0"/>
              <w:autoSpaceDN w:val="0"/>
              <w:adjustRightInd w:val="0"/>
              <w:spacing w:line="360" w:lineRule="auto"/>
              <w:contextualSpacing/>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陈村雪里蕻也是徽州馃的必备原料，金秋时节，正值苞芦（玉米）成熟。徽州人选用金黄玉米磨成粉，揉成面团，用猪油渣和雪里蕻为馅，做成圆饼形，放入平锅压石头烤熟。馃色金黄，外皮焦脆，泛出玉米清香，馅心油润而有脂油香，味道可口，食时若沾些土辣酱，味道更佳。</w:t>
            </w:r>
          </w:p>
          <w:p w14:paraId="22E4AAE9">
            <w:pPr>
              <w:widowControl/>
              <w:tabs>
                <w:tab w:val="center" w:pos="4201"/>
                <w:tab w:val="right" w:leader="dot" w:pos="9298"/>
              </w:tabs>
              <w:autoSpaceDE w:val="0"/>
              <w:autoSpaceDN w:val="0"/>
              <w:adjustRightInd w:val="0"/>
              <w:spacing w:line="360" w:lineRule="auto"/>
              <w:contextualSpacing/>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目前，</w:t>
            </w:r>
            <w:r>
              <w:rPr>
                <w:rFonts w:hint="eastAsia" w:ascii="Times New Roman" w:hAnsi="Times New Roman" w:cs="Times New Roman"/>
                <w:kern w:val="0"/>
                <w:szCs w:val="21"/>
                <w:lang w:val="en-US" w:eastAsia="en-US"/>
              </w:rPr>
              <w:t>尚无与</w:t>
            </w:r>
            <w:r>
              <w:rPr>
                <w:rFonts w:hint="eastAsia" w:ascii="Times New Roman" w:hAnsi="Times New Roman" w:cs="Times New Roman"/>
                <w:kern w:val="0"/>
                <w:szCs w:val="21"/>
                <w:lang w:val="en-US" w:eastAsia="zh-CN"/>
              </w:rPr>
              <w:t>雪里蕻生产技术规程</w:t>
            </w:r>
            <w:r>
              <w:rPr>
                <w:rFonts w:hint="eastAsia" w:ascii="Times New Roman" w:hAnsi="Times New Roman" w:cs="Times New Roman"/>
                <w:kern w:val="0"/>
                <w:szCs w:val="21"/>
                <w:lang w:val="en-US" w:eastAsia="en-US"/>
              </w:rPr>
              <w:t>相关的国际标准</w:t>
            </w:r>
            <w:r>
              <w:rPr>
                <w:rFonts w:hint="eastAsia" w:ascii="Times New Roman" w:hAnsi="Times New Roman" w:cs="Times New Roman"/>
                <w:kern w:val="0"/>
                <w:szCs w:val="21"/>
                <w:lang w:val="en-US" w:eastAsia="zh-CN"/>
              </w:rPr>
              <w:t>、国家标准和行业标准，没有安徽省地方标准，仅具有少量的地方标准，如：苏州市农业地方标准（DB3205/T020-2003）、江苏省地方标准（DB32/T 1082-2007）、辽宁省地方标准（DB21/T1423-2006）等对雪里蕻生产技术规程。黄山地区作为雪里蕻的主产区，没有相应的地方标准做支撑，生产技术缺乏规范，生产的雪里蕻缺乏品牌竞争力。为了提高陈村雪里蕻品牌知名度和市场竞争力，发扬当地的产业优势，提高种植户的生产积极性和收入水平，规范雪里蕻的生产技术规范势在必行。</w:t>
            </w:r>
          </w:p>
          <w:p w14:paraId="5354E6C7">
            <w:pPr>
              <w:widowControl/>
              <w:tabs>
                <w:tab w:val="center" w:pos="4201"/>
                <w:tab w:val="right" w:leader="dot" w:pos="9298"/>
              </w:tabs>
              <w:autoSpaceDE w:val="0"/>
              <w:autoSpaceDN w:val="0"/>
              <w:adjustRightInd w:val="0"/>
              <w:spacing w:line="360" w:lineRule="auto"/>
              <w:contextualSpacing/>
              <w:rPr>
                <w:rFonts w:hint="eastAsia" w:ascii="Times New Roman" w:hAnsi="Times New Roman" w:cs="Times New Roman"/>
                <w:kern w:val="0"/>
                <w:szCs w:val="21"/>
                <w:lang w:eastAsia="zh-CN"/>
              </w:rPr>
            </w:pPr>
            <w:r>
              <w:rPr>
                <w:rFonts w:hint="eastAsia" w:ascii="Times New Roman" w:hAnsi="Times New Roman" w:cs="Times New Roman"/>
                <w:kern w:val="0"/>
                <w:szCs w:val="21"/>
                <w:lang w:eastAsia="zh-CN"/>
              </w:rPr>
              <w:t>“通过制定、发布和实施标准，达到统一”是标准化的实质，“获得最佳秩序”、“促进最佳社会效益”是制定标准的目的</w:t>
            </w:r>
            <w:r>
              <w:rPr>
                <w:rFonts w:hint="eastAsia" w:ascii="Times New Roman" w:hAnsi="Times New Roman" w:cs="Times New Roman"/>
                <w:kern w:val="0"/>
                <w:szCs w:val="21"/>
              </w:rPr>
              <w:t>。</w:t>
            </w:r>
            <w:r>
              <w:rPr>
                <w:rFonts w:hint="eastAsia" w:ascii="Times New Roman" w:hAnsi="Times New Roman" w:cs="Times New Roman"/>
                <w:kern w:val="0"/>
                <w:szCs w:val="21"/>
                <w:lang w:eastAsia="zh-CN"/>
              </w:rPr>
              <w:t>标准化为科学管理奠定了基础。所谓科学管理，就是依据生产技术的发展规律和客观经济规律对企业进行管理，而各种科学管理制度的形式，都以标准化为基础。</w:t>
            </w:r>
          </w:p>
          <w:p w14:paraId="4E797130">
            <w:pPr>
              <w:widowControl/>
              <w:tabs>
                <w:tab w:val="center" w:pos="4201"/>
                <w:tab w:val="right" w:leader="dot" w:pos="9298"/>
              </w:tabs>
              <w:autoSpaceDE w:val="0"/>
              <w:autoSpaceDN w:val="0"/>
              <w:adjustRightInd w:val="0"/>
              <w:spacing w:line="360" w:lineRule="auto"/>
              <w:contextualSpacing/>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   总之，制定雪里蕻生产技术规程标准，有利于当地雪里蕻产业的发展，提高当地的科学管理雪里蕻的生产过程，为当地发扬光大雪里蕻产业提供更多的经济效益和社会贡献。</w:t>
            </w:r>
          </w:p>
          <w:p w14:paraId="150A7A1F">
            <w:pPr>
              <w:widowControl/>
              <w:tabs>
                <w:tab w:val="center" w:pos="4201"/>
                <w:tab w:val="right" w:leader="dot" w:pos="9298"/>
              </w:tabs>
              <w:autoSpaceDE w:val="0"/>
              <w:autoSpaceDN w:val="0"/>
              <w:adjustRightInd w:val="0"/>
              <w:spacing w:line="360" w:lineRule="auto"/>
              <w:contextualSpacing/>
              <w:rPr>
                <w:kern w:val="0"/>
                <w:szCs w:val="21"/>
              </w:rPr>
            </w:pPr>
            <w:r>
              <w:rPr>
                <w:rFonts w:hint="eastAsia" w:ascii="Times New Roman" w:hAnsi="Times New Roman" w:cs="Times New Roman"/>
                <w:kern w:val="0"/>
                <w:szCs w:val="21"/>
                <w:lang w:val="en-US" w:eastAsia="zh-CN"/>
              </w:rPr>
              <w:t>目前，黄山市澄塘村雪里蕻种植面积大约2000亩，亩产量60000斤，全年产量大约6000吨,腌菜约3600吨，营业额2160万。通过制定雪里蕻地方标准，使种植和生产加工更加规范，产品的知名度进一步提升，销路更加广阔，效益将会增加30%。此标准的制定，也将为更大力度的推动当地农民增收和乡村振兴。</w:t>
            </w:r>
          </w:p>
        </w:tc>
      </w:tr>
      <w:tr w14:paraId="06E6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C58D4BE">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3、制定标准的原则和依据，与现行法律法规、标准的关系。</w:t>
            </w:r>
          </w:p>
        </w:tc>
      </w:tr>
      <w:tr w14:paraId="000F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000" w:type="pct"/>
            <w:gridSpan w:val="6"/>
            <w:vAlign w:val="center"/>
          </w:tcPr>
          <w:p w14:paraId="60D80427">
            <w:pPr>
              <w:pStyle w:val="11"/>
              <w:spacing w:line="360" w:lineRule="auto"/>
              <w:rPr>
                <w:rFonts w:hint="eastAsia" w:ascii="Times New Roman"/>
                <w:szCs w:val="21"/>
              </w:rPr>
            </w:pPr>
            <w:r>
              <w:rPr>
                <w:rFonts w:ascii="Times New Roman"/>
                <w:szCs w:val="21"/>
              </w:rPr>
              <w:t>本标准依据编制遵循“前沿性、科学性、实用性、规范性”的原则，按照《中华人民共和国标准化法》和《</w:t>
            </w:r>
            <w:r>
              <w:rPr>
                <w:rFonts w:hint="eastAsia" w:ascii="Times New Roman"/>
                <w:szCs w:val="21"/>
                <w:lang w:val="en-US" w:eastAsia="zh-CN"/>
              </w:rPr>
              <w:t>黄山市</w:t>
            </w:r>
            <w:r>
              <w:rPr>
                <w:rFonts w:ascii="Times New Roman"/>
                <w:szCs w:val="21"/>
              </w:rPr>
              <w:t>地方标准管理办法》等有关法律、法规制定。</w:t>
            </w:r>
          </w:p>
          <w:p w14:paraId="4FCCD4DE">
            <w:pPr>
              <w:pStyle w:val="11"/>
              <w:spacing w:line="360" w:lineRule="auto"/>
              <w:rPr>
                <w:rFonts w:ascii="Times New Roman"/>
                <w:szCs w:val="21"/>
              </w:rPr>
            </w:pPr>
            <w:r>
              <w:rPr>
                <w:rFonts w:ascii="Times New Roman"/>
                <w:szCs w:val="21"/>
              </w:rPr>
              <w:t>本标准遵循</w:t>
            </w:r>
            <w:r>
              <w:rPr>
                <w:rFonts w:ascii="Times New Roman"/>
                <w:bCs/>
                <w:szCs w:val="21"/>
              </w:rPr>
              <w:t>现行的国家标准、农业行业标准和相关法规的规定。</w:t>
            </w:r>
          </w:p>
        </w:tc>
      </w:tr>
      <w:tr w14:paraId="7757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0855D40">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4、主要条款的说明，主要技术指标、参数、试验验证的论述（</w:t>
            </w:r>
            <w:r>
              <w:rPr>
                <w:b/>
                <w:kern w:val="0"/>
                <w:szCs w:val="21"/>
              </w:rPr>
              <w:t>详细说明</w:t>
            </w:r>
            <w:r>
              <w:rPr>
                <w:kern w:val="0"/>
                <w:szCs w:val="21"/>
              </w:rPr>
              <w:t>）</w:t>
            </w:r>
          </w:p>
        </w:tc>
      </w:tr>
      <w:tr w14:paraId="3EEB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B036967">
            <w:pPr>
              <w:widowControl/>
              <w:spacing w:line="370" w:lineRule="exact"/>
              <w:ind w:firstLine="420" w:firstLineChars="200"/>
              <w:rPr>
                <w:rFonts w:hint="eastAsia"/>
              </w:rPr>
            </w:pPr>
            <w:r>
              <w:rPr>
                <w:rFonts w:hint="eastAsia"/>
              </w:rPr>
              <w:t>1　范围</w:t>
            </w:r>
          </w:p>
          <w:p w14:paraId="7882C82D">
            <w:pPr>
              <w:pStyle w:val="27"/>
              <w:ind w:firstLine="420"/>
              <w:rPr>
                <w:rFonts w:hint="eastAsia" w:ascii="Calibri" w:hAnsi="Calibri"/>
                <w:kern w:val="2"/>
                <w:szCs w:val="21"/>
                <w:lang w:val="en-US" w:eastAsia="zh-CN"/>
              </w:rPr>
            </w:pPr>
            <w:r>
              <w:t>本</w:t>
            </w:r>
            <w:r>
              <w:rPr>
                <w:rFonts w:hint="eastAsia"/>
              </w:rPr>
              <w:t>文件</w:t>
            </w:r>
            <w:r>
              <w:t>规定</w:t>
            </w:r>
            <w:r>
              <w:rPr>
                <w:rFonts w:hint="eastAsia"/>
                <w:lang w:eastAsia="zh-CN"/>
              </w:rPr>
              <w:t>了澄塘</w:t>
            </w:r>
            <w:r>
              <w:rPr>
                <w:rFonts w:hint="eastAsia" w:ascii="Calibri" w:hAnsi="Calibri"/>
                <w:kern w:val="2"/>
                <w:szCs w:val="21"/>
                <w:lang w:eastAsia="zh-CN"/>
              </w:rPr>
              <w:t>雪里蕻</w:t>
            </w:r>
            <w:r>
              <w:rPr>
                <w:rFonts w:hint="eastAsia" w:ascii="Calibri" w:hAnsi="Calibri"/>
                <w:kern w:val="2"/>
                <w:szCs w:val="21"/>
                <w:lang w:val="en-US" w:eastAsia="zh-CN"/>
              </w:rPr>
              <w:t>生产</w:t>
            </w:r>
            <w:r>
              <w:rPr>
                <w:rFonts w:hint="eastAsia" w:ascii="Calibri" w:hAnsi="Calibri"/>
                <w:kern w:val="2"/>
                <w:szCs w:val="21"/>
              </w:rPr>
              <w:t>的术语和定义、</w:t>
            </w:r>
            <w:r>
              <w:rPr>
                <w:rFonts w:hint="eastAsia" w:ascii="Calibri" w:hAnsi="Calibri"/>
                <w:kern w:val="2"/>
                <w:szCs w:val="21"/>
                <w:lang w:val="en-US" w:eastAsia="zh-CN"/>
              </w:rPr>
              <w:t>产地环境条件、生产管理措施。</w:t>
            </w:r>
          </w:p>
          <w:p w14:paraId="52D6745A">
            <w:pPr>
              <w:pStyle w:val="27"/>
              <w:ind w:firstLine="420"/>
              <w:rPr>
                <w:rFonts w:hint="default" w:ascii="Calibri" w:hAnsi="Calibri"/>
                <w:kern w:val="2"/>
                <w:szCs w:val="21"/>
                <w:lang w:val="en-US" w:eastAsia="zh-CN"/>
              </w:rPr>
            </w:pPr>
            <w:r>
              <w:rPr>
                <w:rFonts w:hint="eastAsia" w:ascii="Calibri" w:hAnsi="Calibri"/>
                <w:kern w:val="2"/>
                <w:szCs w:val="21"/>
                <w:lang w:val="en-US" w:eastAsia="zh-CN"/>
              </w:rPr>
              <w:t>本文件适用于黄山地区雪里蕻栽培技术。</w:t>
            </w:r>
          </w:p>
          <w:p w14:paraId="30F7AB6A">
            <w:pPr>
              <w:widowControl/>
              <w:spacing w:line="370" w:lineRule="exact"/>
              <w:ind w:firstLine="420" w:firstLineChars="200"/>
              <w:rPr>
                <w:rFonts w:hint="eastAsia"/>
              </w:rPr>
            </w:pPr>
            <w:r>
              <w:rPr>
                <w:rFonts w:hint="eastAsia"/>
              </w:rPr>
              <w:t>2　规范性引用文件</w:t>
            </w:r>
          </w:p>
          <w:sdt>
            <w:sdtPr>
              <w:rPr>
                <w:rFonts w:hint="eastAsia"/>
              </w:rPr>
              <w:id w:val="715848253"/>
              <w:placeholder>
                <w:docPart w:val="{db3c4c05-e65b-42c0-9507-1e3683f6bc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658B43D">
                <w:pPr>
                  <w:pStyle w:val="27"/>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B1F5AC">
            <w:pPr>
              <w:pStyle w:val="27"/>
              <w:ind w:firstLine="420"/>
              <w:rPr>
                <w:rFonts w:hint="eastAsia"/>
                <w:lang w:val="en-US" w:eastAsia="zh-CN"/>
              </w:rPr>
            </w:pPr>
            <w:r>
              <w:rPr>
                <w:rFonts w:hint="eastAsia"/>
                <w:lang w:val="en-US" w:eastAsia="zh-CN"/>
              </w:rPr>
              <w:t>GB/T 8321 （所有部分） 农药合理使用准则</w:t>
            </w:r>
          </w:p>
          <w:p w14:paraId="48D5D0CC">
            <w:pPr>
              <w:pStyle w:val="27"/>
              <w:ind w:firstLine="420"/>
              <w:rPr>
                <w:rFonts w:hint="eastAsia"/>
                <w:lang w:val="en-US" w:eastAsia="zh-CN"/>
              </w:rPr>
            </w:pPr>
            <w:r>
              <w:rPr>
                <w:rFonts w:hint="eastAsia"/>
                <w:lang w:val="en-US" w:eastAsia="zh-CN"/>
              </w:rPr>
              <w:t>NY 5010 无公害食品 蔬菜产地环境条件</w:t>
            </w:r>
          </w:p>
          <w:p w14:paraId="1771CAAA">
            <w:pPr>
              <w:widowControl/>
              <w:spacing w:line="370" w:lineRule="exact"/>
              <w:ind w:firstLine="420" w:firstLineChars="200"/>
              <w:rPr>
                <w:rFonts w:hint="eastAsia"/>
              </w:rPr>
            </w:pPr>
            <w:r>
              <w:rPr>
                <w:rFonts w:hint="eastAsia"/>
              </w:rPr>
              <w:t>3　定义和术语</w:t>
            </w:r>
          </w:p>
          <w:p w14:paraId="79343C54">
            <w:pPr>
              <w:pStyle w:val="28"/>
              <w:numPr>
                <w:ilvl w:val="0"/>
                <w:numId w:val="0"/>
              </w:numPr>
              <w:spacing w:before="156" w:after="156"/>
              <w:ind w:firstLine="420" w:firstLineChars="200"/>
              <w:rPr>
                <w:rFonts w:hint="default" w:eastAsia="黑体"/>
                <w:color w:val="auto"/>
                <w:lang w:val="en-US" w:eastAsia="zh-CN"/>
              </w:rPr>
            </w:pPr>
            <w:r>
              <w:rPr>
                <w:rFonts w:hint="eastAsia"/>
                <w:color w:val="auto"/>
              </w:rPr>
              <w:t>3.1</w:t>
            </w:r>
            <w:r>
              <w:rPr>
                <w:rFonts w:hint="eastAsia"/>
                <w:color w:val="auto"/>
                <w:lang w:val="en-US" w:eastAsia="zh-CN"/>
              </w:rPr>
              <w:t>雪里蕻</w:t>
            </w:r>
            <w:r>
              <w:rPr>
                <w:rFonts w:hint="eastAsia"/>
                <w:color w:val="auto"/>
              </w:rPr>
              <w:t xml:space="preserve"> </w:t>
            </w:r>
            <w:r>
              <w:rPr>
                <w:rFonts w:hint="eastAsia"/>
                <w:i/>
                <w:iCs/>
                <w:color w:val="auto"/>
                <w:lang w:val="en-US" w:eastAsia="zh-CN"/>
              </w:rPr>
              <w:t>Var.multiceps.Tsen et Lee</w:t>
            </w:r>
          </w:p>
          <w:p w14:paraId="06CE1A82">
            <w:pPr>
              <w:pStyle w:val="27"/>
              <w:rPr>
                <w:rFonts w:hint="eastAsia"/>
                <w:color w:val="auto"/>
                <w:lang w:val="en-US" w:eastAsia="zh-CN"/>
              </w:rPr>
            </w:pPr>
            <w:r>
              <w:rPr>
                <w:rFonts w:hint="eastAsia"/>
                <w:color w:val="auto"/>
                <w:lang w:val="en-US" w:eastAsia="zh-CN"/>
              </w:rPr>
              <w:t>是十字花科芸薹属芥菜种中以叶为主要产品、供加工用的一类蔬菜。花叶品种叶片缺裂较深，板叶品种叶全缘有锯齿。叶数因品种不同相差悬殊。</w:t>
            </w:r>
          </w:p>
          <w:p w14:paraId="66008A40">
            <w:pPr>
              <w:widowControl/>
              <w:spacing w:line="370" w:lineRule="exact"/>
              <w:ind w:firstLine="420" w:firstLineChars="200"/>
              <w:rPr>
                <w:rFonts w:hint="eastAsia" w:eastAsia="宋体"/>
                <w:lang w:eastAsia="zh-CN"/>
              </w:rPr>
            </w:pPr>
            <w:r>
              <w:rPr>
                <w:rFonts w:hint="eastAsia"/>
              </w:rPr>
              <w:t>4　</w:t>
            </w:r>
            <w:r>
              <w:rPr>
                <w:rFonts w:hint="eastAsia"/>
                <w:lang w:val="en-US" w:eastAsia="zh-CN"/>
              </w:rPr>
              <w:t>产地环境</w:t>
            </w:r>
          </w:p>
          <w:p w14:paraId="5144F5C7">
            <w:pPr>
              <w:pStyle w:val="27"/>
              <w:rPr>
                <w:rFonts w:hint="eastAsia"/>
                <w:lang w:val="en-US" w:eastAsia="zh-CN"/>
              </w:rPr>
            </w:pPr>
            <w:r>
              <w:rPr>
                <w:rFonts w:hint="eastAsia"/>
                <w:lang w:eastAsia="zh-CN"/>
              </w:rPr>
              <w:t>雪里蕻产地环境条件应符合</w:t>
            </w:r>
            <w:r>
              <w:rPr>
                <w:rFonts w:hint="eastAsia"/>
                <w:lang w:val="en-US" w:eastAsia="zh-CN"/>
              </w:rPr>
              <w:t>NY 5010的要求。</w:t>
            </w:r>
          </w:p>
          <w:p w14:paraId="4FF5C03C">
            <w:pPr>
              <w:widowControl/>
              <w:spacing w:line="370" w:lineRule="exact"/>
              <w:ind w:firstLine="420" w:firstLineChars="200"/>
              <w:rPr>
                <w:rFonts w:hint="eastAsia"/>
              </w:rPr>
            </w:pPr>
            <w:r>
              <w:rPr>
                <w:rFonts w:hint="eastAsia"/>
              </w:rPr>
              <w:t>5　</w:t>
            </w:r>
            <w:r>
              <w:rPr>
                <w:rFonts w:hint="eastAsia"/>
                <w:szCs w:val="21"/>
                <w:lang w:val="en-US" w:eastAsia="zh-CN"/>
              </w:rPr>
              <w:t>生产管理措施</w:t>
            </w:r>
          </w:p>
          <w:p w14:paraId="21DCA5B9">
            <w:pPr>
              <w:widowControl/>
              <w:spacing w:line="370" w:lineRule="exact"/>
              <w:ind w:firstLine="420" w:firstLineChars="200"/>
              <w:rPr>
                <w:rFonts w:hint="eastAsia"/>
              </w:rPr>
            </w:pPr>
            <w:r>
              <w:rPr>
                <w:rFonts w:hint="eastAsia"/>
              </w:rPr>
              <w:t>5.1　</w:t>
            </w:r>
            <w:r>
              <w:rPr>
                <w:rFonts w:hint="eastAsia"/>
                <w:lang w:val="en-US" w:eastAsia="zh-CN"/>
              </w:rPr>
              <w:t>品种选择。</w:t>
            </w:r>
            <w:r>
              <w:rPr>
                <w:rFonts w:hint="eastAsia"/>
                <w:szCs w:val="21"/>
                <w:lang w:eastAsia="zh-CN"/>
              </w:rPr>
              <w:t>选用抗病，优质、丰产、抗逆性强、适合本地栽培商品性好的品种。适宜鲜食及加工腌制的。</w:t>
            </w:r>
          </w:p>
          <w:p w14:paraId="2D82D294">
            <w:pPr>
              <w:widowControl/>
              <w:spacing w:line="370" w:lineRule="exact"/>
              <w:ind w:firstLine="420" w:firstLineChars="200"/>
              <w:rPr>
                <w:rFonts w:hint="eastAsia"/>
                <w:color w:val="auto"/>
                <w:lang w:val="en-US" w:eastAsia="zh-CN"/>
              </w:rPr>
            </w:pPr>
            <w:r>
              <w:rPr>
                <w:rFonts w:hint="eastAsia"/>
              </w:rPr>
              <w:t>5.2　</w:t>
            </w:r>
            <w:r>
              <w:rPr>
                <w:rFonts w:hint="eastAsia"/>
                <w:lang w:val="en-US" w:eastAsia="zh-CN"/>
              </w:rPr>
              <w:t>栽培季节。</w:t>
            </w:r>
            <w:r>
              <w:rPr>
                <w:rFonts w:hint="eastAsia"/>
                <w:color w:val="auto"/>
                <w:lang w:val="en-US" w:eastAsia="zh-CN"/>
              </w:rPr>
              <w:t>春、冬两季播种。春季，1月上旬播种，3月下旬收获。冬季，10月上旬播种，12月下旬收获。</w:t>
            </w:r>
          </w:p>
          <w:p w14:paraId="2460F800">
            <w:pPr>
              <w:pStyle w:val="27"/>
              <w:ind w:firstLine="420"/>
            </w:pPr>
            <w:r>
              <w:rPr>
                <w:rFonts w:hint="eastAsia"/>
              </w:rPr>
              <w:t>5.3　</w:t>
            </w:r>
            <w:r>
              <w:rPr>
                <w:rFonts w:hint="eastAsia"/>
                <w:lang w:val="en-US" w:eastAsia="zh-CN"/>
              </w:rPr>
              <w:t>苗床准备。</w:t>
            </w:r>
            <w:r>
              <w:rPr>
                <w:rFonts w:hint="eastAsia"/>
                <w:lang w:eastAsia="zh-CN"/>
              </w:rPr>
              <w:t>选择土质疏松肥沃，排灌条件良好，交通便利的田块作苗床。苗床翻耕后土壤要充分曝晒，并以堆肥、焦泥灰、人畜粪尿、磷肥作基肥，整好苗床，要求畦平、泥细、沟深畅</w:t>
            </w:r>
            <w:r>
              <w:rPr>
                <w:rFonts w:hint="eastAsia"/>
                <w:vertAlign w:val="baseline"/>
                <w:lang w:val="en-US" w:eastAsia="zh-CN"/>
              </w:rPr>
              <w:t>。</w:t>
            </w:r>
            <w:r>
              <w:rPr>
                <w:rFonts w:hint="eastAsia" w:hAnsi="宋体"/>
                <w:lang w:eastAsia="zh-CN"/>
              </w:rPr>
              <w:t>整地时施入基肥，一般畦宽1.5米，沟宽30厘米，沟深30厘米，畦面平整、泥细，无杂草。</w:t>
            </w:r>
          </w:p>
          <w:p w14:paraId="7E91A746">
            <w:pPr>
              <w:pStyle w:val="27"/>
              <w:ind w:firstLine="420"/>
              <w:rPr>
                <w:rFonts w:hint="eastAsia" w:hAnsi="宋体"/>
                <w:lang w:val="en-US" w:eastAsia="zh-CN"/>
              </w:rPr>
            </w:pPr>
            <w:r>
              <w:rPr>
                <w:rFonts w:hint="eastAsia"/>
                <w:lang w:val="en-US" w:eastAsia="zh-CN"/>
              </w:rPr>
              <w:t>5.4 播种。</w:t>
            </w:r>
            <w:r>
              <w:rPr>
                <w:rFonts w:hint="eastAsia" w:hAnsi="宋体"/>
                <w:lang w:eastAsia="zh-CN"/>
              </w:rPr>
              <w:t>采用直播，每亩大田需种子</w:t>
            </w:r>
            <w:r>
              <w:rPr>
                <w:rFonts w:hint="eastAsia" w:hAnsi="宋体"/>
                <w:lang w:val="en-US" w:eastAsia="zh-CN"/>
              </w:rPr>
              <w:t>800g。播种时加细土2kg与种子拌匀后下籽，播后盖细0.5cm耧平压实并用秸秆或遮阳网覆盖。播后要加盖草木灰，稻草或麦草。当种子发芽达到80%出土时应将稻草或麦草拿去。</w:t>
            </w:r>
          </w:p>
          <w:p w14:paraId="4158A9E9">
            <w:pPr>
              <w:pStyle w:val="27"/>
              <w:ind w:firstLine="420"/>
              <w:rPr>
                <w:rFonts w:hint="eastAsia" w:hAnsi="宋体"/>
                <w:lang w:val="en-US" w:eastAsia="zh-CN"/>
              </w:rPr>
            </w:pPr>
            <w:r>
              <w:rPr>
                <w:rFonts w:hint="eastAsia" w:hAnsi="宋体"/>
                <w:lang w:val="en-US" w:eastAsia="zh-CN"/>
              </w:rPr>
              <w:t>5.5 秧苗管理</w:t>
            </w:r>
          </w:p>
          <w:p w14:paraId="0DFFAFD7">
            <w:pPr>
              <w:pStyle w:val="27"/>
              <w:rPr>
                <w:rFonts w:hint="eastAsia"/>
                <w:lang w:val="en-US" w:eastAsia="zh-CN"/>
              </w:rPr>
            </w:pPr>
            <w:r>
              <w:rPr>
                <w:rFonts w:hint="eastAsia" w:hAnsi="宋体"/>
                <w:lang w:val="en-US" w:eastAsia="zh-CN"/>
              </w:rPr>
              <w:t>5.5.1 肥水管理。</w:t>
            </w:r>
            <w:r>
              <w:rPr>
                <w:rFonts w:hint="eastAsia"/>
                <w:lang w:eastAsia="zh-CN"/>
              </w:rPr>
              <w:t>秋播种后，出土前每天喷水，保持土壤湿润，播种后要保持地面湿润，以利出苗。春冬要用薄膜覆盖。早春播种刚出土后要适当控水。生长期间保持土壤湿润。齐苗后，泼洒</w:t>
            </w:r>
            <w:r>
              <w:rPr>
                <w:rFonts w:hint="eastAsia"/>
                <w:lang w:val="en-US" w:eastAsia="zh-CN"/>
              </w:rPr>
              <w:t>10倍以上的清水肥，若土干苗黄，再泼洒清水肥，出苗半个月内肥水不脱。半个月后至移栽，要控制肥水，促进秧苗老健。</w:t>
            </w:r>
          </w:p>
          <w:p w14:paraId="6EBF2D02">
            <w:pPr>
              <w:pStyle w:val="27"/>
              <w:rPr>
                <w:rFonts w:hint="eastAsia"/>
                <w:lang w:val="en-US" w:eastAsia="zh-CN"/>
              </w:rPr>
            </w:pPr>
            <w:r>
              <w:rPr>
                <w:rFonts w:hint="eastAsia"/>
                <w:lang w:val="en-US" w:eastAsia="zh-CN"/>
              </w:rPr>
              <w:t>5.5.2 间苗。分别于一片真叶和两片真叶时开始间苗，保持见方2cm</w:t>
            </w:r>
            <w:r>
              <w:rPr>
                <w:rFonts w:hint="eastAsia"/>
                <w:vertAlign w:val="superscript"/>
                <w:lang w:val="en-US" w:eastAsia="zh-CN"/>
              </w:rPr>
              <w:t>2</w:t>
            </w:r>
            <w:r>
              <w:rPr>
                <w:rFonts w:hint="eastAsia"/>
                <w:lang w:val="en-US" w:eastAsia="zh-CN"/>
              </w:rPr>
              <w:t>-3cm</w:t>
            </w:r>
            <w:r>
              <w:rPr>
                <w:rFonts w:hint="eastAsia"/>
                <w:vertAlign w:val="superscript"/>
                <w:lang w:val="en-US" w:eastAsia="zh-CN"/>
              </w:rPr>
              <w:t>2</w:t>
            </w:r>
            <w:r>
              <w:rPr>
                <w:rFonts w:hint="eastAsia"/>
                <w:lang w:val="en-US" w:eastAsia="zh-CN"/>
              </w:rPr>
              <w:t>一棵，除去密集苗。在3叶-4叶时进行第二次间苗，除去徒长苗、细弱苗、无心苗、病苗及其它劣苗。当苗长至5片-6片真叶时定苗。</w:t>
            </w:r>
          </w:p>
          <w:p w14:paraId="45ECAB0B">
            <w:pPr>
              <w:pStyle w:val="27"/>
              <w:rPr>
                <w:rFonts w:hint="eastAsia" w:hAnsi="宋体"/>
                <w:lang w:eastAsia="zh-CN"/>
              </w:rPr>
            </w:pPr>
            <w:r>
              <w:rPr>
                <w:rFonts w:hint="eastAsia"/>
                <w:lang w:val="en-US" w:eastAsia="zh-CN"/>
              </w:rPr>
              <w:t>5.5.3 定值 秧苗期30-40天左右，</w:t>
            </w:r>
            <w:r>
              <w:rPr>
                <w:rFonts w:hint="eastAsia" w:hAnsi="宋体"/>
                <w:lang w:eastAsia="zh-CN"/>
              </w:rPr>
              <w:t>在苗高15厘米左右，</w:t>
            </w:r>
            <w:r>
              <w:rPr>
                <w:rFonts w:hint="eastAsia"/>
                <w:lang w:val="en-US" w:eastAsia="zh-CN"/>
              </w:rPr>
              <w:t>秧苗真叶5片-6片移栽定植。定植规格，株行距30cm x35cm，</w:t>
            </w:r>
            <w:r>
              <w:rPr>
                <w:rFonts w:hint="eastAsia" w:hAnsi="宋体"/>
                <w:lang w:eastAsia="zh-CN"/>
              </w:rPr>
              <w:t>亩植4000-5000株左右。带土移栽，减少伤苗，定植时不使根扭曲、悬空；栽后及时浇水，以利成活。</w:t>
            </w:r>
          </w:p>
          <w:p w14:paraId="4C645C21">
            <w:pPr>
              <w:pStyle w:val="27"/>
              <w:rPr>
                <w:rFonts w:hint="eastAsia" w:hAnsi="宋体"/>
                <w:lang w:val="en-US" w:eastAsia="zh-CN"/>
              </w:rPr>
            </w:pPr>
            <w:r>
              <w:rPr>
                <w:rFonts w:hint="eastAsia" w:hAnsi="宋体"/>
                <w:lang w:val="en-US" w:eastAsia="zh-CN"/>
              </w:rPr>
              <w:t>5.6 施肥</w:t>
            </w:r>
          </w:p>
          <w:p w14:paraId="1D339EA7">
            <w:pPr>
              <w:pStyle w:val="27"/>
              <w:rPr>
                <w:rFonts w:hint="eastAsia"/>
                <w:lang w:val="en-US" w:eastAsia="zh-CN"/>
              </w:rPr>
            </w:pPr>
            <w:r>
              <w:rPr>
                <w:rFonts w:hint="eastAsia" w:hAnsi="宋体"/>
                <w:lang w:val="en-US" w:eastAsia="zh-CN"/>
              </w:rPr>
              <w:t>5.6.1 基肥。</w:t>
            </w:r>
            <w:r>
              <w:rPr>
                <w:rFonts w:hint="eastAsia"/>
                <w:lang w:val="en-US" w:eastAsia="zh-CN"/>
              </w:rPr>
              <w:t>定植后，防旱防涝，少雨时防止干旱，多雨时做好排水工作。雪里蕻产品器官是叶片叶柄，施肥以氮肥为主，磷钾肥为辅，基肥占80%，追肥占20%。一般亩用复合肥50千克，碳铵50千克、钙镁磷肥15千克，氯化钾肥10千克。</w:t>
            </w:r>
          </w:p>
          <w:p w14:paraId="794A4C47">
            <w:pPr>
              <w:pStyle w:val="27"/>
              <w:rPr>
                <w:rFonts w:hint="default"/>
                <w:lang w:val="en-US" w:eastAsia="zh-CN"/>
              </w:rPr>
            </w:pPr>
            <w:r>
              <w:rPr>
                <w:rFonts w:hint="eastAsia" w:hAnsi="宋体"/>
                <w:lang w:val="en-US" w:eastAsia="zh-CN"/>
              </w:rPr>
              <w:t>5.6.2 追肥。</w:t>
            </w:r>
            <w:r>
              <w:rPr>
                <w:rFonts w:hint="eastAsia"/>
                <w:lang w:val="en-US" w:eastAsia="zh-CN"/>
              </w:rPr>
              <w:t>在苗期和后期应适当增施磷钾肥，每茬菜追肥3-4次，由淡到浓。注意栽后5-7天追施一次，以后结合中耕看苗施肥。秋菜前期气温高，生长快，要及时追肥，春菜春前不宜重施肥料，入春后及时浇水施肥。在采收前20天停止浇水追肥，以提高品质。</w:t>
            </w:r>
          </w:p>
          <w:p w14:paraId="5110123C">
            <w:pPr>
              <w:widowControl/>
              <w:spacing w:line="370" w:lineRule="exact"/>
              <w:ind w:firstLine="420" w:firstLineChars="200"/>
              <w:rPr>
                <w:rFonts w:hint="eastAsia"/>
                <w:lang w:val="en-US" w:eastAsia="zh-CN"/>
              </w:rPr>
            </w:pPr>
            <w:r>
              <w:rPr>
                <w:rFonts w:hint="eastAsia"/>
              </w:rPr>
              <w:t>6　</w:t>
            </w:r>
            <w:r>
              <w:rPr>
                <w:rFonts w:hint="eastAsia"/>
                <w:lang w:val="en-US" w:eastAsia="zh-CN"/>
              </w:rPr>
              <w:t>病虫害</w:t>
            </w:r>
          </w:p>
          <w:p w14:paraId="64D24E48">
            <w:pPr>
              <w:pStyle w:val="27"/>
              <w:rPr>
                <w:rFonts w:hint="eastAsia"/>
              </w:rPr>
            </w:pPr>
            <w:r>
              <w:rPr>
                <w:rFonts w:hint="eastAsia"/>
              </w:rPr>
              <w:t>6.1　</w:t>
            </w:r>
            <w:r>
              <w:rPr>
                <w:rFonts w:hint="eastAsia"/>
                <w:lang w:val="en-US" w:eastAsia="zh-CN"/>
              </w:rPr>
              <w:t>主要病虫害。整个生育期主要病虫害为</w:t>
            </w:r>
            <w:r>
              <w:rPr>
                <w:rFonts w:hint="eastAsia" w:hAnsi="Times New Roman" w:cs="Times New Roman"/>
                <w:lang w:val="en-US" w:eastAsia="zh-CN"/>
              </w:rPr>
              <w:t>霜霉病、蚜虫。</w:t>
            </w:r>
          </w:p>
          <w:p w14:paraId="6328A846">
            <w:pPr>
              <w:widowControl/>
              <w:spacing w:line="370" w:lineRule="exact"/>
              <w:ind w:firstLine="420" w:firstLineChars="200"/>
              <w:rPr>
                <w:rFonts w:hint="eastAsia" w:ascii="宋体" w:hAnsi="Times New Roman" w:eastAsia="宋体" w:cs="Times New Roman"/>
                <w:kern w:val="0"/>
                <w:sz w:val="21"/>
                <w:szCs w:val="20"/>
                <w:lang w:val="en-US" w:eastAsia="zh-CN" w:bidi="ar-SA"/>
              </w:rPr>
            </w:pPr>
            <w:r>
              <w:rPr>
                <w:rFonts w:hint="eastAsia"/>
              </w:rPr>
              <w:t>6.2　</w:t>
            </w:r>
            <w:r>
              <w:rPr>
                <w:rFonts w:hint="eastAsia"/>
                <w:lang w:val="en-US" w:eastAsia="zh-CN"/>
              </w:rPr>
              <w:t>农业防治。作用腐熟的有机肥、减少病源，科学施肥，减少氮源施用量，培育壮苗，增加抵抗力。</w:t>
            </w:r>
          </w:p>
          <w:p w14:paraId="1EBE9087">
            <w:pPr>
              <w:pStyle w:val="27"/>
              <w:rPr>
                <w:rFonts w:hint="default"/>
                <w:lang w:val="en-US" w:eastAsia="zh-CN"/>
              </w:rPr>
            </w:pPr>
            <w:r>
              <w:rPr>
                <w:rFonts w:hint="eastAsia" w:ascii="宋体" w:hAnsi="Times New Roman" w:eastAsia="宋体" w:cs="Times New Roman"/>
                <w:kern w:val="0"/>
                <w:sz w:val="21"/>
                <w:szCs w:val="20"/>
                <w:lang w:val="en-US" w:eastAsia="zh-CN" w:bidi="ar-SA"/>
              </w:rPr>
              <w:t>6.3 化学防治。防治霜霉病用代森锰锌，用72%的代森锰锌800倍液喷雾。防治蚜虫可以用10%吡虫啉1500倍液喷雾或80%敌敌畏乳剂2000倍液进行喷雾防治。农药施用应符合GB/T 8321的规定。</w:t>
            </w:r>
          </w:p>
          <w:p w14:paraId="244324E6">
            <w:pPr>
              <w:widowControl/>
              <w:spacing w:line="370" w:lineRule="exact"/>
              <w:ind w:firstLine="420" w:firstLineChars="200"/>
            </w:pPr>
            <w:r>
              <w:rPr>
                <w:rFonts w:hint="eastAsia"/>
              </w:rPr>
              <w:t>7　</w:t>
            </w:r>
            <w:r>
              <w:rPr>
                <w:rFonts w:hint="eastAsia"/>
                <w:lang w:val="en-US" w:eastAsia="zh-CN"/>
              </w:rPr>
              <w:t>收获。</w:t>
            </w:r>
            <w:r>
              <w:rPr>
                <w:rFonts w:hint="eastAsia"/>
                <w:szCs w:val="21"/>
                <w:lang w:val="en-US" w:eastAsia="zh-CN"/>
              </w:rPr>
              <w:t>春季栽培时一</w:t>
            </w:r>
            <w:r>
              <w:rPr>
                <w:rFonts w:hint="eastAsia"/>
                <w:color w:val="auto"/>
                <w:szCs w:val="21"/>
                <w:lang w:val="en-US" w:eastAsia="zh-CN"/>
              </w:rPr>
              <w:t>般于3月下旬采</w:t>
            </w:r>
            <w:r>
              <w:rPr>
                <w:rFonts w:hint="eastAsia"/>
                <w:szCs w:val="21"/>
                <w:lang w:val="en-US" w:eastAsia="zh-CN"/>
              </w:rPr>
              <w:t>收，冬季栽培一般12月下旬采收。单棵重250g以上，单株长30cm以上。一般在晴天下午采收，采收时每株雪里蕻菜的根用刀削平，做到不抽苔，无根、无泥、无黄叶。使基部朝上，倒覆在畦面上。</w:t>
            </w:r>
          </w:p>
        </w:tc>
      </w:tr>
      <w:tr w14:paraId="1687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51CA233">
            <w:pPr>
              <w:widowControl/>
              <w:tabs>
                <w:tab w:val="center" w:pos="4201"/>
                <w:tab w:val="right" w:leader="dot" w:pos="9298"/>
              </w:tabs>
              <w:autoSpaceDE w:val="0"/>
              <w:autoSpaceDN w:val="0"/>
              <w:adjustRightInd w:val="0"/>
              <w:spacing w:line="360" w:lineRule="auto"/>
              <w:contextualSpacing/>
              <w:rPr>
                <w:kern w:val="0"/>
                <w:szCs w:val="21"/>
              </w:rPr>
            </w:pPr>
            <w:bookmarkStart w:id="2" w:name="_Toc464905613"/>
            <w:bookmarkStart w:id="3" w:name="_Toc464902852"/>
            <w:bookmarkStart w:id="4" w:name="_Toc464905809"/>
            <w:bookmarkStart w:id="5" w:name="_Toc464905557"/>
            <w:bookmarkStart w:id="6" w:name="_Toc465074266"/>
            <w:r>
              <w:rPr>
                <w:kern w:val="0"/>
                <w:szCs w:val="21"/>
              </w:rPr>
              <w:t>5、标准中如果涉及专利，应有明确的知识产权说明</w:t>
            </w:r>
            <w:bookmarkEnd w:id="2"/>
            <w:bookmarkEnd w:id="3"/>
            <w:bookmarkEnd w:id="4"/>
            <w:bookmarkEnd w:id="5"/>
            <w:bookmarkEnd w:id="6"/>
          </w:p>
        </w:tc>
      </w:tr>
      <w:tr w14:paraId="4552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000" w:type="pct"/>
            <w:gridSpan w:val="6"/>
            <w:vAlign w:val="center"/>
          </w:tcPr>
          <w:p w14:paraId="66C2415B">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 xml:space="preserve">  </w:t>
            </w:r>
            <w:r>
              <w:rPr>
                <w:color w:val="000000"/>
                <w:szCs w:val="21"/>
              </w:rPr>
              <w:t>本标准不涉及任何专利。</w:t>
            </w:r>
          </w:p>
        </w:tc>
      </w:tr>
      <w:tr w14:paraId="0597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7A50B75E">
            <w:pPr>
              <w:widowControl/>
              <w:tabs>
                <w:tab w:val="center" w:pos="4201"/>
                <w:tab w:val="right" w:leader="dot" w:pos="9298"/>
              </w:tabs>
              <w:autoSpaceDE w:val="0"/>
              <w:autoSpaceDN w:val="0"/>
              <w:adjustRightInd w:val="0"/>
              <w:spacing w:line="360" w:lineRule="auto"/>
              <w:contextualSpacing/>
              <w:rPr>
                <w:kern w:val="0"/>
                <w:szCs w:val="21"/>
              </w:rPr>
            </w:pPr>
            <w:bookmarkStart w:id="7" w:name="_Toc464902853"/>
            <w:bookmarkStart w:id="8" w:name="_Toc464905558"/>
            <w:bookmarkStart w:id="9" w:name="_Toc464905614"/>
            <w:bookmarkStart w:id="10" w:name="_Toc464905810"/>
            <w:bookmarkStart w:id="11" w:name="_Toc465074267"/>
            <w:r>
              <w:rPr>
                <w:kern w:val="0"/>
                <w:szCs w:val="21"/>
              </w:rPr>
              <w:t>6、采用国际标准或国外先进标准的，说明采标程度，以及国内外同类标准水平的对比情况</w:t>
            </w:r>
            <w:bookmarkEnd w:id="7"/>
            <w:bookmarkEnd w:id="8"/>
            <w:bookmarkEnd w:id="9"/>
            <w:bookmarkEnd w:id="10"/>
            <w:bookmarkEnd w:id="11"/>
          </w:p>
        </w:tc>
      </w:tr>
      <w:tr w14:paraId="5FD9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8" w:hRule="atLeast"/>
          <w:jc w:val="center"/>
        </w:trPr>
        <w:tc>
          <w:tcPr>
            <w:tcW w:w="5000" w:type="pct"/>
            <w:gridSpan w:val="6"/>
            <w:vAlign w:val="center"/>
          </w:tcPr>
          <w:p w14:paraId="624980A6">
            <w:pPr>
              <w:widowControl/>
              <w:tabs>
                <w:tab w:val="center" w:pos="4201"/>
                <w:tab w:val="right" w:leader="dot" w:pos="9298"/>
              </w:tabs>
              <w:autoSpaceDE w:val="0"/>
              <w:autoSpaceDN w:val="0"/>
              <w:adjustRightInd w:val="0"/>
              <w:spacing w:line="360" w:lineRule="auto"/>
              <w:contextualSpacing/>
              <w:rPr>
                <w:color w:val="000000"/>
                <w:szCs w:val="21"/>
              </w:rPr>
            </w:pPr>
            <w:r>
              <w:rPr>
                <w:kern w:val="0"/>
                <w:szCs w:val="21"/>
              </w:rPr>
              <w:t xml:space="preserve">  </w:t>
            </w:r>
            <w:r>
              <w:rPr>
                <w:color w:val="000000"/>
                <w:szCs w:val="21"/>
              </w:rPr>
              <w:t>未采用国际标准或国外先进标准；目前，国内外尚无同类标准。</w:t>
            </w:r>
          </w:p>
          <w:p w14:paraId="5EEA75D7">
            <w:pPr>
              <w:widowControl/>
              <w:tabs>
                <w:tab w:val="center" w:pos="4201"/>
                <w:tab w:val="right" w:leader="dot" w:pos="9298"/>
              </w:tabs>
              <w:autoSpaceDE w:val="0"/>
              <w:autoSpaceDN w:val="0"/>
              <w:adjustRightInd w:val="0"/>
              <w:spacing w:line="360" w:lineRule="auto"/>
              <w:contextualSpacing/>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383"/>
              <w:gridCol w:w="1566"/>
              <w:gridCol w:w="1656"/>
              <w:gridCol w:w="974"/>
              <w:gridCol w:w="1646"/>
            </w:tblGrid>
            <w:tr w14:paraId="7B30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297" w:type="dxa"/>
                  <w:noWrap w:val="0"/>
                  <w:vAlign w:val="top"/>
                </w:tcPr>
                <w:p w14:paraId="7EE29BB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指标</w:t>
                  </w:r>
                </w:p>
              </w:tc>
              <w:tc>
                <w:tcPr>
                  <w:tcW w:w="1383" w:type="dxa"/>
                  <w:noWrap w:val="0"/>
                  <w:vAlign w:val="top"/>
                </w:tcPr>
                <w:p w14:paraId="3E7BAE41">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DB21/T 1423—2006</w:t>
                  </w:r>
                </w:p>
                <w:p w14:paraId="243C4325">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农产品质量安全 雪里蕻生产技术规程</w:t>
                  </w:r>
                </w:p>
                <w:p w14:paraId="1C073B8A">
                  <w:pPr>
                    <w:jc w:val="center"/>
                    <w:rPr>
                      <w:rFonts w:hint="eastAsia" w:ascii="宋体" w:hAnsi="宋体" w:eastAsia="宋体" w:cs="宋体"/>
                      <w:sz w:val="18"/>
                      <w:szCs w:val="18"/>
                      <w:vertAlign w:val="baseline"/>
                    </w:rPr>
                  </w:pPr>
                </w:p>
              </w:tc>
              <w:tc>
                <w:tcPr>
                  <w:tcW w:w="1566" w:type="dxa"/>
                  <w:noWrap w:val="0"/>
                  <w:vAlign w:val="top"/>
                </w:tcPr>
                <w:p w14:paraId="1266E07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DB32/T1082-2007</w:t>
                  </w:r>
                </w:p>
                <w:p w14:paraId="2F64FA73">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雪菜生产技术规程</w:t>
                  </w:r>
                </w:p>
              </w:tc>
              <w:tc>
                <w:tcPr>
                  <w:tcW w:w="1656" w:type="dxa"/>
                  <w:noWrap w:val="0"/>
                  <w:vAlign w:val="top"/>
                </w:tcPr>
                <w:p w14:paraId="34ED02C3">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DB3205/T020-2003</w:t>
                  </w:r>
                </w:p>
                <w:p w14:paraId="40A88DF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无公害农产品 太湖雪里蕻菜生产技术规程</w:t>
                  </w:r>
                </w:p>
              </w:tc>
              <w:tc>
                <w:tcPr>
                  <w:tcW w:w="974" w:type="dxa"/>
                  <w:noWrap w:val="0"/>
                  <w:vAlign w:val="top"/>
                </w:tcPr>
                <w:p w14:paraId="2A0D2A2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国外标准</w:t>
                  </w:r>
                </w:p>
              </w:tc>
              <w:tc>
                <w:tcPr>
                  <w:tcW w:w="1646" w:type="dxa"/>
                  <w:noWrap w:val="0"/>
                  <w:vAlign w:val="top"/>
                </w:tcPr>
                <w:p w14:paraId="5D584A1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本标准</w:t>
                  </w:r>
                </w:p>
              </w:tc>
            </w:tr>
            <w:tr w14:paraId="6025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top"/>
                </w:tcPr>
                <w:p w14:paraId="6A4F8DC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产地环境</w:t>
                  </w:r>
                </w:p>
              </w:tc>
              <w:tc>
                <w:tcPr>
                  <w:tcW w:w="1383" w:type="dxa"/>
                  <w:noWrap w:val="0"/>
                  <w:vAlign w:val="top"/>
                </w:tcPr>
                <w:p w14:paraId="48CC744C">
                  <w:pPr>
                    <w:jc w:val="cente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应</w:t>
                  </w:r>
                  <w:r>
                    <w:rPr>
                      <w:rFonts w:hint="eastAsia" w:ascii="宋体" w:hAnsi="宋体" w:eastAsia="宋体" w:cs="宋体"/>
                      <w:sz w:val="18"/>
                      <w:szCs w:val="18"/>
                      <w:lang w:eastAsia="zh-CN"/>
                    </w:rPr>
                    <w:t>符合</w:t>
                  </w:r>
                  <w:r>
                    <w:rPr>
                      <w:rFonts w:hint="eastAsia" w:ascii="宋体" w:hAnsi="宋体" w:eastAsia="宋体" w:cs="宋体"/>
                      <w:sz w:val="18"/>
                      <w:szCs w:val="18"/>
                      <w:lang w:val="en-US" w:eastAsia="zh-CN"/>
                    </w:rPr>
                    <w:t>NY 5010的要求</w:t>
                  </w:r>
                </w:p>
              </w:tc>
              <w:tc>
                <w:tcPr>
                  <w:tcW w:w="1566" w:type="dxa"/>
                  <w:noWrap w:val="0"/>
                  <w:vAlign w:val="top"/>
                </w:tcPr>
                <w:p w14:paraId="74B9A506">
                  <w:pPr>
                    <w:jc w:val="cente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应</w:t>
                  </w:r>
                  <w:r>
                    <w:rPr>
                      <w:rFonts w:hint="eastAsia" w:ascii="宋体" w:hAnsi="宋体" w:eastAsia="宋体" w:cs="宋体"/>
                      <w:sz w:val="18"/>
                      <w:szCs w:val="18"/>
                      <w:lang w:eastAsia="zh-CN"/>
                    </w:rPr>
                    <w:t>符合</w:t>
                  </w:r>
                  <w:r>
                    <w:rPr>
                      <w:rFonts w:hint="eastAsia" w:ascii="宋体" w:hAnsi="宋体" w:eastAsia="宋体" w:cs="宋体"/>
                      <w:sz w:val="18"/>
                      <w:szCs w:val="18"/>
                      <w:lang w:val="en-US" w:eastAsia="zh-CN"/>
                    </w:rPr>
                    <w:t>NY 5010的要求</w:t>
                  </w:r>
                </w:p>
              </w:tc>
              <w:tc>
                <w:tcPr>
                  <w:tcW w:w="1656" w:type="dxa"/>
                  <w:noWrap w:val="0"/>
                  <w:vAlign w:val="top"/>
                </w:tcPr>
                <w:p w14:paraId="094688D5">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无</w:t>
                  </w:r>
                </w:p>
              </w:tc>
              <w:tc>
                <w:tcPr>
                  <w:tcW w:w="974" w:type="dxa"/>
                  <w:noWrap w:val="0"/>
                  <w:vAlign w:val="top"/>
                </w:tcPr>
                <w:p w14:paraId="5511675F">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无</w:t>
                  </w:r>
                </w:p>
              </w:tc>
              <w:tc>
                <w:tcPr>
                  <w:tcW w:w="1646" w:type="dxa"/>
                  <w:noWrap w:val="0"/>
                  <w:vAlign w:val="top"/>
                </w:tcPr>
                <w:p w14:paraId="17A7D3D1">
                  <w:pPr>
                    <w:jc w:val="cente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应</w:t>
                  </w:r>
                  <w:r>
                    <w:rPr>
                      <w:rFonts w:hint="eastAsia" w:ascii="宋体" w:hAnsi="宋体" w:eastAsia="宋体" w:cs="宋体"/>
                      <w:sz w:val="18"/>
                      <w:szCs w:val="18"/>
                      <w:lang w:eastAsia="zh-CN"/>
                    </w:rPr>
                    <w:t>符合</w:t>
                  </w:r>
                  <w:r>
                    <w:rPr>
                      <w:rFonts w:hint="eastAsia" w:ascii="宋体" w:hAnsi="宋体" w:eastAsia="宋体" w:cs="宋体"/>
                      <w:sz w:val="18"/>
                      <w:szCs w:val="18"/>
                      <w:lang w:val="en-US" w:eastAsia="zh-CN"/>
                    </w:rPr>
                    <w:t>NY 5010的要求</w:t>
                  </w:r>
                </w:p>
              </w:tc>
            </w:tr>
            <w:tr w14:paraId="5C7D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297" w:type="dxa"/>
                  <w:noWrap w:val="0"/>
                  <w:vAlign w:val="top"/>
                </w:tcPr>
                <w:p w14:paraId="0A6768E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生产管理措施</w:t>
                  </w:r>
                </w:p>
              </w:tc>
              <w:tc>
                <w:tcPr>
                  <w:tcW w:w="1383" w:type="dxa"/>
                  <w:noWrap w:val="0"/>
                  <w:vAlign w:val="top"/>
                </w:tcPr>
                <w:p w14:paraId="6DAEE701">
                  <w:pPr>
                    <w:keepNext w:val="0"/>
                    <w:keepLines w:val="0"/>
                    <w:widowControl/>
                    <w:suppressLineNumbers w:val="0"/>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 xml:space="preserve">品种选择、栽培季节、整地施肥、播种方法、苗期管理、生长期管理、主要病虫害防治、间混套作病虫害的防治 </w:t>
                  </w:r>
                </w:p>
                <w:p w14:paraId="167EEAAC">
                  <w:pPr>
                    <w:keepNext w:val="0"/>
                    <w:keepLines w:val="0"/>
                    <w:widowControl/>
                    <w:suppressLineNumbers w:val="0"/>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 xml:space="preserve">、禁止使用的高毒高残留农药 、收获 </w:t>
                  </w:r>
                </w:p>
                <w:p w14:paraId="5DAA7D00">
                  <w:pPr>
                    <w:jc w:val="center"/>
                    <w:rPr>
                      <w:rFonts w:hint="default" w:ascii="宋体" w:hAnsi="宋体" w:eastAsia="宋体" w:cs="宋体"/>
                      <w:sz w:val="18"/>
                      <w:szCs w:val="18"/>
                      <w:vertAlign w:val="baseline"/>
                      <w:lang w:val="en-US" w:eastAsia="zh-CN"/>
                    </w:rPr>
                  </w:pPr>
                </w:p>
              </w:tc>
              <w:tc>
                <w:tcPr>
                  <w:tcW w:w="1566" w:type="dxa"/>
                  <w:noWrap w:val="0"/>
                  <w:vAlign w:val="top"/>
                </w:tcPr>
                <w:p w14:paraId="6EE4EEA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品种选择、苗床准备、播种、秧苗管理、施肥、病虫害防治、收获</w:t>
                  </w:r>
                </w:p>
              </w:tc>
              <w:tc>
                <w:tcPr>
                  <w:tcW w:w="1656" w:type="dxa"/>
                  <w:noWrap w:val="0"/>
                  <w:vAlign w:val="top"/>
                </w:tcPr>
                <w:p w14:paraId="1788F648">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品种选择、育苗、苗期管理、大田管理、病虫害防治</w:t>
                  </w:r>
                </w:p>
              </w:tc>
              <w:tc>
                <w:tcPr>
                  <w:tcW w:w="974" w:type="dxa"/>
                  <w:noWrap w:val="0"/>
                  <w:vAlign w:val="top"/>
                </w:tcPr>
                <w:p w14:paraId="254A382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无</w:t>
                  </w:r>
                </w:p>
              </w:tc>
              <w:tc>
                <w:tcPr>
                  <w:tcW w:w="1646" w:type="dxa"/>
                  <w:noWrap w:val="0"/>
                  <w:vAlign w:val="top"/>
                </w:tcPr>
                <w:p w14:paraId="4ECD1618">
                  <w:pPr>
                    <w:pStyle w:val="29"/>
                    <w:numPr>
                      <w:ilvl w:val="0"/>
                      <w:numId w:val="0"/>
                    </w:numPr>
                    <w:spacing w:before="312" w:after="312"/>
                    <w:ind w:lef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lang w:eastAsia="zh-CN"/>
                    </w:rPr>
                    <w:t>品种选择、</w:t>
                  </w:r>
                  <w:r>
                    <w:rPr>
                      <w:rFonts w:hint="eastAsia" w:ascii="宋体" w:hAnsi="宋体" w:eastAsia="宋体" w:cs="宋体"/>
                      <w:color w:val="auto"/>
                      <w:sz w:val="18"/>
                      <w:szCs w:val="18"/>
                      <w:lang w:val="en-US" w:eastAsia="zh-CN"/>
                    </w:rPr>
                    <w:t>栽培季节、</w:t>
                  </w:r>
                  <w:r>
                    <w:rPr>
                      <w:rFonts w:hint="eastAsia" w:ascii="宋体" w:hAnsi="宋体" w:eastAsia="宋体" w:cs="宋体"/>
                      <w:sz w:val="18"/>
                      <w:szCs w:val="18"/>
                      <w:lang w:eastAsia="zh-CN"/>
                    </w:rPr>
                    <w:t>苗床准备、播种、</w:t>
                  </w:r>
                  <w:r>
                    <w:rPr>
                      <w:rFonts w:hint="eastAsia" w:ascii="宋体" w:hAnsi="宋体" w:eastAsia="宋体" w:cs="宋体"/>
                      <w:sz w:val="18"/>
                      <w:szCs w:val="18"/>
                      <w:lang w:val="en-US" w:eastAsia="zh-CN"/>
                    </w:rPr>
                    <w:t>秧苗管理、施肥、病虫害防治</w:t>
                  </w:r>
                </w:p>
                <w:p w14:paraId="398D548E">
                  <w:pPr>
                    <w:jc w:val="center"/>
                    <w:rPr>
                      <w:rFonts w:hint="eastAsia" w:ascii="宋体" w:hAnsi="宋体" w:eastAsia="宋体" w:cs="宋体"/>
                      <w:sz w:val="18"/>
                      <w:szCs w:val="18"/>
                      <w:vertAlign w:val="baseline"/>
                    </w:rPr>
                  </w:pPr>
                </w:p>
              </w:tc>
            </w:tr>
            <w:tr w14:paraId="20FD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97" w:type="dxa"/>
                  <w:noWrap w:val="0"/>
                  <w:vAlign w:val="top"/>
                </w:tcPr>
                <w:p w14:paraId="66B14DC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收获</w:t>
                  </w:r>
                </w:p>
              </w:tc>
              <w:tc>
                <w:tcPr>
                  <w:tcW w:w="1383" w:type="dxa"/>
                  <w:noWrap w:val="0"/>
                  <w:vAlign w:val="top"/>
                </w:tcPr>
                <w:p w14:paraId="7E01D2D6">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没有收获季节，采收前1d-2d必须进行农药残留检测，合格后及时采收上市</w:t>
                  </w:r>
                </w:p>
              </w:tc>
              <w:tc>
                <w:tcPr>
                  <w:tcW w:w="1566" w:type="dxa"/>
                  <w:noWrap w:val="0"/>
                  <w:vAlign w:val="top"/>
                </w:tcPr>
                <w:p w14:paraId="18578A2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一般于3月底至4月初采收</w:t>
                  </w:r>
                </w:p>
              </w:tc>
              <w:tc>
                <w:tcPr>
                  <w:tcW w:w="1656" w:type="dxa"/>
                  <w:noWrap w:val="0"/>
                  <w:vAlign w:val="top"/>
                </w:tcPr>
                <w:p w14:paraId="4CAF29F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采收时间：早熟品种在4月5日左右，迟熟品种在4月20日左右。采收方法</w:t>
                  </w:r>
                  <w:r>
                    <w:rPr>
                      <w:rFonts w:hint="eastAsia" w:ascii="宋体" w:hAnsi="宋体" w:cs="宋体"/>
                      <w:sz w:val="18"/>
                      <w:szCs w:val="18"/>
                      <w:vertAlign w:val="baseline"/>
                      <w:lang w:val="en-US" w:eastAsia="zh-CN"/>
                    </w:rPr>
                    <w:t>。</w:t>
                  </w:r>
                </w:p>
              </w:tc>
              <w:tc>
                <w:tcPr>
                  <w:tcW w:w="974" w:type="dxa"/>
                  <w:noWrap w:val="0"/>
                  <w:vAlign w:val="top"/>
                </w:tcPr>
                <w:p w14:paraId="227692F6">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无</w:t>
                  </w:r>
                </w:p>
              </w:tc>
              <w:tc>
                <w:tcPr>
                  <w:tcW w:w="1646" w:type="dxa"/>
                  <w:noWrap w:val="0"/>
                  <w:vAlign w:val="top"/>
                </w:tcPr>
                <w:p w14:paraId="68FBEB14">
                  <w:pPr>
                    <w:jc w:val="center"/>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春季栽培时一</w:t>
                  </w:r>
                  <w:r>
                    <w:rPr>
                      <w:rFonts w:hint="eastAsia" w:ascii="宋体" w:hAnsi="宋体" w:eastAsia="宋体" w:cs="宋体"/>
                      <w:color w:val="auto"/>
                      <w:sz w:val="18"/>
                      <w:szCs w:val="18"/>
                      <w:lang w:val="en-US" w:eastAsia="zh-CN"/>
                    </w:rPr>
                    <w:t>般于3月下旬采</w:t>
                  </w:r>
                  <w:r>
                    <w:rPr>
                      <w:rFonts w:hint="eastAsia" w:ascii="宋体" w:hAnsi="宋体" w:eastAsia="宋体" w:cs="宋体"/>
                      <w:sz w:val="18"/>
                      <w:szCs w:val="18"/>
                      <w:lang w:val="en-US" w:eastAsia="zh-CN"/>
                    </w:rPr>
                    <w:t>收，冬季栽培一般12月下旬采收</w:t>
                  </w:r>
                </w:p>
              </w:tc>
            </w:tr>
          </w:tbl>
          <w:p w14:paraId="22957CA9">
            <w:pPr>
              <w:widowControl/>
              <w:tabs>
                <w:tab w:val="center" w:pos="4201"/>
                <w:tab w:val="right" w:leader="dot" w:pos="9298"/>
              </w:tabs>
              <w:autoSpaceDE w:val="0"/>
              <w:autoSpaceDN w:val="0"/>
              <w:adjustRightInd w:val="0"/>
              <w:spacing w:line="360" w:lineRule="auto"/>
              <w:contextualSpacing/>
              <w:rPr>
                <w:color w:val="000000"/>
                <w:szCs w:val="21"/>
              </w:rPr>
            </w:pPr>
          </w:p>
        </w:tc>
      </w:tr>
      <w:tr w14:paraId="6444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F6F84C2">
            <w:pPr>
              <w:widowControl/>
              <w:tabs>
                <w:tab w:val="center" w:pos="4201"/>
                <w:tab w:val="right" w:leader="dot" w:pos="9298"/>
              </w:tabs>
              <w:autoSpaceDE w:val="0"/>
              <w:autoSpaceDN w:val="0"/>
              <w:adjustRightInd w:val="0"/>
              <w:spacing w:line="360" w:lineRule="auto"/>
              <w:contextualSpacing/>
              <w:rPr>
                <w:kern w:val="0"/>
                <w:szCs w:val="21"/>
              </w:rPr>
            </w:pPr>
            <w:bookmarkStart w:id="12" w:name="_Toc464905615"/>
            <w:bookmarkStart w:id="13" w:name="_Toc464905811"/>
            <w:bookmarkStart w:id="14" w:name="_Toc464902854"/>
            <w:bookmarkStart w:id="15" w:name="_Toc464905559"/>
            <w:bookmarkStart w:id="16" w:name="_Toc465074268"/>
            <w:r>
              <w:rPr>
                <w:kern w:val="0"/>
                <w:szCs w:val="21"/>
              </w:rPr>
              <w:t>7、重大分歧意见的处理经过和依据</w:t>
            </w:r>
            <w:bookmarkEnd w:id="12"/>
            <w:bookmarkEnd w:id="13"/>
            <w:bookmarkEnd w:id="14"/>
            <w:bookmarkEnd w:id="15"/>
            <w:bookmarkEnd w:id="16"/>
          </w:p>
        </w:tc>
      </w:tr>
      <w:tr w14:paraId="4385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02AC2F0">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 xml:space="preserve">  </w:t>
            </w:r>
            <w:r>
              <w:rPr>
                <w:bCs/>
              </w:rPr>
              <w:t>标准在修订过程中没有重大意见分歧。</w:t>
            </w:r>
          </w:p>
        </w:tc>
      </w:tr>
      <w:tr w14:paraId="3836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8A25F7C">
            <w:pPr>
              <w:widowControl/>
              <w:tabs>
                <w:tab w:val="center" w:pos="4201"/>
                <w:tab w:val="right" w:leader="dot" w:pos="9298"/>
              </w:tabs>
              <w:autoSpaceDE w:val="0"/>
              <w:autoSpaceDN w:val="0"/>
              <w:adjustRightInd w:val="0"/>
              <w:spacing w:line="360" w:lineRule="auto"/>
              <w:contextualSpacing/>
              <w:rPr>
                <w:kern w:val="0"/>
                <w:szCs w:val="21"/>
              </w:rPr>
            </w:pPr>
            <w:bookmarkStart w:id="17" w:name="_Toc464905616"/>
            <w:bookmarkStart w:id="18" w:name="_Toc464902855"/>
            <w:bookmarkStart w:id="19" w:name="_Toc465074269"/>
            <w:bookmarkStart w:id="20" w:name="_Toc464905560"/>
            <w:bookmarkStart w:id="21" w:name="_Toc464905812"/>
            <w:r>
              <w:rPr>
                <w:kern w:val="0"/>
                <w:szCs w:val="21"/>
              </w:rPr>
              <w:t>8、贯彻标准的要求和措施建议（包括组织措施、技术措施、过渡办法、实施日期等）</w:t>
            </w:r>
            <w:bookmarkEnd w:id="17"/>
            <w:bookmarkEnd w:id="18"/>
            <w:bookmarkEnd w:id="19"/>
            <w:bookmarkEnd w:id="20"/>
            <w:bookmarkEnd w:id="21"/>
          </w:p>
        </w:tc>
      </w:tr>
      <w:tr w14:paraId="1137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B2B2502">
            <w:pPr>
              <w:spacing w:line="360" w:lineRule="auto"/>
              <w:ind w:firstLine="420" w:firstLineChars="200"/>
              <w:rPr>
                <w:szCs w:val="21"/>
              </w:rPr>
            </w:pPr>
            <w:r>
              <w:rPr>
                <w:szCs w:val="21"/>
              </w:rPr>
              <w:t>本标准作为推荐性地方标准，建议自本标准发布之日起在全</w:t>
            </w:r>
            <w:r>
              <w:rPr>
                <w:rFonts w:hint="eastAsia"/>
                <w:szCs w:val="21"/>
                <w:lang w:val="en-US" w:eastAsia="zh-CN"/>
              </w:rPr>
              <w:t>市</w:t>
            </w:r>
            <w:r>
              <w:rPr>
                <w:szCs w:val="21"/>
              </w:rPr>
              <w:t>推荐使用。</w:t>
            </w:r>
          </w:p>
        </w:tc>
      </w:tr>
      <w:tr w14:paraId="36F5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16C24C48">
            <w:pPr>
              <w:widowControl/>
              <w:tabs>
                <w:tab w:val="center" w:pos="4201"/>
                <w:tab w:val="right" w:leader="dot" w:pos="9298"/>
              </w:tabs>
              <w:autoSpaceDE w:val="0"/>
              <w:autoSpaceDN w:val="0"/>
              <w:adjustRightInd w:val="0"/>
              <w:spacing w:line="360" w:lineRule="auto"/>
              <w:contextualSpacing/>
              <w:rPr>
                <w:kern w:val="0"/>
                <w:szCs w:val="21"/>
              </w:rPr>
            </w:pPr>
            <w:bookmarkStart w:id="22" w:name="_Toc464902856"/>
            <w:bookmarkStart w:id="23" w:name="_Toc465074270"/>
            <w:bookmarkStart w:id="24" w:name="_Toc464905617"/>
            <w:bookmarkStart w:id="25" w:name="_Toc464905813"/>
            <w:bookmarkStart w:id="26" w:name="_Toc464905561"/>
            <w:r>
              <w:rPr>
                <w:kern w:val="0"/>
                <w:szCs w:val="21"/>
              </w:rPr>
              <w:t>9、废止现行相关标准的建议</w:t>
            </w:r>
            <w:bookmarkEnd w:id="22"/>
            <w:bookmarkEnd w:id="23"/>
            <w:bookmarkEnd w:id="24"/>
            <w:bookmarkEnd w:id="25"/>
            <w:bookmarkEnd w:id="26"/>
          </w:p>
        </w:tc>
      </w:tr>
      <w:tr w14:paraId="1271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00" w:type="pct"/>
            <w:gridSpan w:val="6"/>
            <w:vAlign w:val="center"/>
          </w:tcPr>
          <w:p w14:paraId="754C7D5B">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 xml:space="preserve">  无</w:t>
            </w:r>
          </w:p>
        </w:tc>
      </w:tr>
      <w:tr w14:paraId="0D8D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39C67543">
            <w:pPr>
              <w:widowControl/>
              <w:tabs>
                <w:tab w:val="center" w:pos="4201"/>
                <w:tab w:val="right" w:leader="dot" w:pos="9298"/>
              </w:tabs>
              <w:autoSpaceDE w:val="0"/>
              <w:autoSpaceDN w:val="0"/>
              <w:adjustRightInd w:val="0"/>
              <w:spacing w:line="360" w:lineRule="auto"/>
              <w:contextualSpacing/>
              <w:rPr>
                <w:kern w:val="0"/>
                <w:szCs w:val="21"/>
              </w:rPr>
            </w:pPr>
            <w:bookmarkStart w:id="27" w:name="_Toc464905618"/>
            <w:bookmarkStart w:id="28" w:name="_Toc465074271"/>
            <w:bookmarkStart w:id="29" w:name="_Toc464902857"/>
            <w:bookmarkStart w:id="30" w:name="_Toc464905562"/>
            <w:bookmarkStart w:id="31" w:name="_Toc464905814"/>
            <w:r>
              <w:rPr>
                <w:kern w:val="0"/>
                <w:szCs w:val="21"/>
              </w:rPr>
              <w:t>10、其它应予说明的事项</w:t>
            </w:r>
            <w:bookmarkEnd w:id="27"/>
            <w:bookmarkEnd w:id="28"/>
            <w:bookmarkEnd w:id="29"/>
            <w:bookmarkEnd w:id="30"/>
            <w:bookmarkEnd w:id="31"/>
          </w:p>
        </w:tc>
      </w:tr>
      <w:tr w14:paraId="377A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1AF2712">
            <w:pPr>
              <w:widowControl/>
              <w:tabs>
                <w:tab w:val="center" w:pos="4201"/>
                <w:tab w:val="right" w:leader="dot" w:pos="9298"/>
              </w:tabs>
              <w:autoSpaceDE w:val="0"/>
              <w:autoSpaceDN w:val="0"/>
              <w:adjustRightInd w:val="0"/>
              <w:spacing w:line="360" w:lineRule="auto"/>
              <w:contextualSpacing/>
              <w:rPr>
                <w:kern w:val="0"/>
                <w:szCs w:val="21"/>
              </w:rPr>
            </w:pPr>
            <w:r>
              <w:rPr>
                <w:kern w:val="0"/>
                <w:szCs w:val="21"/>
              </w:rPr>
              <w:t xml:space="preserve">  无</w:t>
            </w:r>
          </w:p>
        </w:tc>
      </w:tr>
    </w:tbl>
    <w:p w14:paraId="75DD63D2">
      <w:pPr>
        <w:autoSpaceDE w:val="0"/>
        <w:autoSpaceDN w:val="0"/>
        <w:ind w:left="726" w:hanging="363"/>
      </w:pPr>
      <w:r>
        <w:rPr>
          <w:kern w:val="0"/>
          <w:sz w:val="18"/>
          <w:szCs w:val="18"/>
        </w:rPr>
        <w:t>没有的请填写 “无”。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03F86"/>
    <w:multiLevelType w:val="multilevel"/>
    <w:tmpl w:val="4F203F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pStyle w:val="28"/>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284"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65A31B4"/>
    <w:multiLevelType w:val="multilevel"/>
    <w:tmpl w:val="765A31B4"/>
    <w:lvl w:ilvl="0" w:tentative="0">
      <w:start w:val="1"/>
      <w:numFmt w:val="decimal"/>
      <w:lvlText w:val="%1."/>
      <w:lvlJc w:val="left"/>
      <w:pPr>
        <w:tabs>
          <w:tab w:val="left" w:pos="720"/>
        </w:tabs>
        <w:ind w:left="720" w:hanging="720"/>
      </w:pPr>
    </w:lvl>
    <w:lvl w:ilvl="1" w:tentative="0">
      <w:start w:val="1"/>
      <w:numFmt w:val="decimal"/>
      <w:pStyle w:val="1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zlhOTk5Yzk2NDk1OTcxYjQzZTg2Zjg4N2FjN2QifQ=="/>
  </w:docVars>
  <w:rsids>
    <w:rsidRoot w:val="35EF3F41"/>
    <w:rsid w:val="00012FF5"/>
    <w:rsid w:val="00020DD0"/>
    <w:rsid w:val="00023EDA"/>
    <w:rsid w:val="0005627C"/>
    <w:rsid w:val="0007376D"/>
    <w:rsid w:val="00081C29"/>
    <w:rsid w:val="00087464"/>
    <w:rsid w:val="000C420F"/>
    <w:rsid w:val="000F3CE9"/>
    <w:rsid w:val="00122AB6"/>
    <w:rsid w:val="00131956"/>
    <w:rsid w:val="001357E0"/>
    <w:rsid w:val="001372ED"/>
    <w:rsid w:val="00140E26"/>
    <w:rsid w:val="00151BCF"/>
    <w:rsid w:val="00152421"/>
    <w:rsid w:val="00161B04"/>
    <w:rsid w:val="001766E1"/>
    <w:rsid w:val="00183F1A"/>
    <w:rsid w:val="00185015"/>
    <w:rsid w:val="00192AF5"/>
    <w:rsid w:val="001B0091"/>
    <w:rsid w:val="001B16ED"/>
    <w:rsid w:val="00202FA3"/>
    <w:rsid w:val="00210DA7"/>
    <w:rsid w:val="002146B2"/>
    <w:rsid w:val="00220970"/>
    <w:rsid w:val="00222510"/>
    <w:rsid w:val="00244752"/>
    <w:rsid w:val="002640F1"/>
    <w:rsid w:val="00271E53"/>
    <w:rsid w:val="00275476"/>
    <w:rsid w:val="00282374"/>
    <w:rsid w:val="002823B9"/>
    <w:rsid w:val="00284809"/>
    <w:rsid w:val="002964BF"/>
    <w:rsid w:val="002977D7"/>
    <w:rsid w:val="002B180A"/>
    <w:rsid w:val="002C0024"/>
    <w:rsid w:val="002C494E"/>
    <w:rsid w:val="002C77EE"/>
    <w:rsid w:val="002E5316"/>
    <w:rsid w:val="0030344A"/>
    <w:rsid w:val="0031360C"/>
    <w:rsid w:val="003153F2"/>
    <w:rsid w:val="003309E4"/>
    <w:rsid w:val="0035046C"/>
    <w:rsid w:val="003A2B66"/>
    <w:rsid w:val="003C4C56"/>
    <w:rsid w:val="003C6A5C"/>
    <w:rsid w:val="003D6725"/>
    <w:rsid w:val="003F4B4E"/>
    <w:rsid w:val="0041426B"/>
    <w:rsid w:val="00427855"/>
    <w:rsid w:val="00431014"/>
    <w:rsid w:val="00431A73"/>
    <w:rsid w:val="00435600"/>
    <w:rsid w:val="004514D8"/>
    <w:rsid w:val="00456822"/>
    <w:rsid w:val="00467031"/>
    <w:rsid w:val="00483C5C"/>
    <w:rsid w:val="0049319B"/>
    <w:rsid w:val="004C7F3F"/>
    <w:rsid w:val="004D3B81"/>
    <w:rsid w:val="004D7B53"/>
    <w:rsid w:val="004E085D"/>
    <w:rsid w:val="004E2DB7"/>
    <w:rsid w:val="00504C9F"/>
    <w:rsid w:val="00520D4D"/>
    <w:rsid w:val="00524A0F"/>
    <w:rsid w:val="00542914"/>
    <w:rsid w:val="005476D2"/>
    <w:rsid w:val="00577900"/>
    <w:rsid w:val="00580171"/>
    <w:rsid w:val="00584323"/>
    <w:rsid w:val="005A46A0"/>
    <w:rsid w:val="005B3EAA"/>
    <w:rsid w:val="005B4FC8"/>
    <w:rsid w:val="005C42BF"/>
    <w:rsid w:val="005E2694"/>
    <w:rsid w:val="005E709F"/>
    <w:rsid w:val="006007F5"/>
    <w:rsid w:val="00614904"/>
    <w:rsid w:val="00632322"/>
    <w:rsid w:val="006525FD"/>
    <w:rsid w:val="00665659"/>
    <w:rsid w:val="00667C58"/>
    <w:rsid w:val="00677453"/>
    <w:rsid w:val="0068646A"/>
    <w:rsid w:val="006A0604"/>
    <w:rsid w:val="006C71CE"/>
    <w:rsid w:val="00700B88"/>
    <w:rsid w:val="00701A3F"/>
    <w:rsid w:val="007146FD"/>
    <w:rsid w:val="00724EE0"/>
    <w:rsid w:val="00740237"/>
    <w:rsid w:val="0075236A"/>
    <w:rsid w:val="00755C6A"/>
    <w:rsid w:val="00757EAB"/>
    <w:rsid w:val="0078084C"/>
    <w:rsid w:val="00781093"/>
    <w:rsid w:val="007A2429"/>
    <w:rsid w:val="007A49DD"/>
    <w:rsid w:val="007A54BB"/>
    <w:rsid w:val="007B3A41"/>
    <w:rsid w:val="007B73DA"/>
    <w:rsid w:val="007C6AE9"/>
    <w:rsid w:val="007D3D16"/>
    <w:rsid w:val="007E08BA"/>
    <w:rsid w:val="007F6CA0"/>
    <w:rsid w:val="00803189"/>
    <w:rsid w:val="008104E2"/>
    <w:rsid w:val="00820EB5"/>
    <w:rsid w:val="008224F7"/>
    <w:rsid w:val="008419B7"/>
    <w:rsid w:val="00842406"/>
    <w:rsid w:val="008445AA"/>
    <w:rsid w:val="00862691"/>
    <w:rsid w:val="00862822"/>
    <w:rsid w:val="00865AD7"/>
    <w:rsid w:val="00880346"/>
    <w:rsid w:val="00887CF1"/>
    <w:rsid w:val="00896118"/>
    <w:rsid w:val="00896B48"/>
    <w:rsid w:val="008B766A"/>
    <w:rsid w:val="008C1795"/>
    <w:rsid w:val="008D0EF0"/>
    <w:rsid w:val="00923B06"/>
    <w:rsid w:val="009266F6"/>
    <w:rsid w:val="009325C2"/>
    <w:rsid w:val="00941524"/>
    <w:rsid w:val="00952192"/>
    <w:rsid w:val="009531C4"/>
    <w:rsid w:val="0097470B"/>
    <w:rsid w:val="009942BB"/>
    <w:rsid w:val="009A12D9"/>
    <w:rsid w:val="009A3C06"/>
    <w:rsid w:val="009A6E34"/>
    <w:rsid w:val="009D4903"/>
    <w:rsid w:val="009E4C5B"/>
    <w:rsid w:val="00A0636B"/>
    <w:rsid w:val="00A17556"/>
    <w:rsid w:val="00A42282"/>
    <w:rsid w:val="00A64E68"/>
    <w:rsid w:val="00A6561B"/>
    <w:rsid w:val="00A73BF2"/>
    <w:rsid w:val="00A755DD"/>
    <w:rsid w:val="00A81CA5"/>
    <w:rsid w:val="00A91182"/>
    <w:rsid w:val="00AB50D2"/>
    <w:rsid w:val="00AB6013"/>
    <w:rsid w:val="00AD4DF0"/>
    <w:rsid w:val="00AD4FAF"/>
    <w:rsid w:val="00AE3463"/>
    <w:rsid w:val="00B02026"/>
    <w:rsid w:val="00B023B4"/>
    <w:rsid w:val="00B02A93"/>
    <w:rsid w:val="00B13E8A"/>
    <w:rsid w:val="00B160CB"/>
    <w:rsid w:val="00B31091"/>
    <w:rsid w:val="00B346CA"/>
    <w:rsid w:val="00B63D14"/>
    <w:rsid w:val="00B66360"/>
    <w:rsid w:val="00BA0842"/>
    <w:rsid w:val="00BA15F8"/>
    <w:rsid w:val="00BA78F5"/>
    <w:rsid w:val="00BD7114"/>
    <w:rsid w:val="00BF697E"/>
    <w:rsid w:val="00C04879"/>
    <w:rsid w:val="00C47C3F"/>
    <w:rsid w:val="00C513C6"/>
    <w:rsid w:val="00C51E8B"/>
    <w:rsid w:val="00C674B7"/>
    <w:rsid w:val="00C705EE"/>
    <w:rsid w:val="00C70860"/>
    <w:rsid w:val="00C7601C"/>
    <w:rsid w:val="00C946BA"/>
    <w:rsid w:val="00CF65AA"/>
    <w:rsid w:val="00D028EB"/>
    <w:rsid w:val="00D03C87"/>
    <w:rsid w:val="00D35395"/>
    <w:rsid w:val="00D4374B"/>
    <w:rsid w:val="00D4485D"/>
    <w:rsid w:val="00D44BF9"/>
    <w:rsid w:val="00D479B8"/>
    <w:rsid w:val="00D50C38"/>
    <w:rsid w:val="00D545EC"/>
    <w:rsid w:val="00D66F55"/>
    <w:rsid w:val="00DD1A0B"/>
    <w:rsid w:val="00DD2874"/>
    <w:rsid w:val="00DE6301"/>
    <w:rsid w:val="00DE689F"/>
    <w:rsid w:val="00E10F92"/>
    <w:rsid w:val="00E15B03"/>
    <w:rsid w:val="00E32578"/>
    <w:rsid w:val="00E328DD"/>
    <w:rsid w:val="00E41D36"/>
    <w:rsid w:val="00E51AE0"/>
    <w:rsid w:val="00E579FA"/>
    <w:rsid w:val="00E60B0A"/>
    <w:rsid w:val="00E64C34"/>
    <w:rsid w:val="00E83B8A"/>
    <w:rsid w:val="00E913D5"/>
    <w:rsid w:val="00E9287F"/>
    <w:rsid w:val="00E9625B"/>
    <w:rsid w:val="00EA387B"/>
    <w:rsid w:val="00EC110B"/>
    <w:rsid w:val="00EC6161"/>
    <w:rsid w:val="00EC76B5"/>
    <w:rsid w:val="00ED0894"/>
    <w:rsid w:val="00F400E0"/>
    <w:rsid w:val="00F70A39"/>
    <w:rsid w:val="00F732A6"/>
    <w:rsid w:val="00F911B4"/>
    <w:rsid w:val="00F930C8"/>
    <w:rsid w:val="00FC708F"/>
    <w:rsid w:val="00FD5C5B"/>
    <w:rsid w:val="00FD5DB4"/>
    <w:rsid w:val="00FF386A"/>
    <w:rsid w:val="00FF4A90"/>
    <w:rsid w:val="02D0730E"/>
    <w:rsid w:val="02D92666"/>
    <w:rsid w:val="05147676"/>
    <w:rsid w:val="08E56982"/>
    <w:rsid w:val="14FF1287"/>
    <w:rsid w:val="17D26CAB"/>
    <w:rsid w:val="195B243E"/>
    <w:rsid w:val="1AC146CC"/>
    <w:rsid w:val="1C466846"/>
    <w:rsid w:val="21AD6D40"/>
    <w:rsid w:val="24D36639"/>
    <w:rsid w:val="25F048F6"/>
    <w:rsid w:val="27C15FE8"/>
    <w:rsid w:val="2B840276"/>
    <w:rsid w:val="2DED4A5E"/>
    <w:rsid w:val="314F3970"/>
    <w:rsid w:val="32311B47"/>
    <w:rsid w:val="331A1D5C"/>
    <w:rsid w:val="359549F8"/>
    <w:rsid w:val="35EF3F41"/>
    <w:rsid w:val="39542B55"/>
    <w:rsid w:val="39833969"/>
    <w:rsid w:val="3AFF176B"/>
    <w:rsid w:val="3BF4A76E"/>
    <w:rsid w:val="3C987340"/>
    <w:rsid w:val="3D1CFE5D"/>
    <w:rsid w:val="3E7D3C45"/>
    <w:rsid w:val="3EC82355"/>
    <w:rsid w:val="3F5F9901"/>
    <w:rsid w:val="3F7FE962"/>
    <w:rsid w:val="3FBC49B2"/>
    <w:rsid w:val="3FF76F83"/>
    <w:rsid w:val="3FFF4A6B"/>
    <w:rsid w:val="40D077FE"/>
    <w:rsid w:val="41EF435B"/>
    <w:rsid w:val="41FD7A94"/>
    <w:rsid w:val="43560B8E"/>
    <w:rsid w:val="43F87486"/>
    <w:rsid w:val="4BFC9B44"/>
    <w:rsid w:val="4CDE40FF"/>
    <w:rsid w:val="4E50267E"/>
    <w:rsid w:val="4ECF8861"/>
    <w:rsid w:val="51C20352"/>
    <w:rsid w:val="52FD22EC"/>
    <w:rsid w:val="53DA404B"/>
    <w:rsid w:val="57DDB3F9"/>
    <w:rsid w:val="57E529EB"/>
    <w:rsid w:val="57FECADB"/>
    <w:rsid w:val="5C1640E5"/>
    <w:rsid w:val="5C8B068D"/>
    <w:rsid w:val="5EBF9DAC"/>
    <w:rsid w:val="5FDFD02F"/>
    <w:rsid w:val="5FF37AE6"/>
    <w:rsid w:val="60846401"/>
    <w:rsid w:val="618A6481"/>
    <w:rsid w:val="61FD6C43"/>
    <w:rsid w:val="63F7C432"/>
    <w:rsid w:val="642E0C5A"/>
    <w:rsid w:val="64EB0A8A"/>
    <w:rsid w:val="67FBDADF"/>
    <w:rsid w:val="6832A300"/>
    <w:rsid w:val="69096318"/>
    <w:rsid w:val="6AFF1C42"/>
    <w:rsid w:val="6C81305A"/>
    <w:rsid w:val="6CFCD87D"/>
    <w:rsid w:val="6E3DB1B3"/>
    <w:rsid w:val="6EFE1072"/>
    <w:rsid w:val="6F1402D9"/>
    <w:rsid w:val="6F7FB443"/>
    <w:rsid w:val="6FBF641A"/>
    <w:rsid w:val="6FD159E5"/>
    <w:rsid w:val="6FD3A7D6"/>
    <w:rsid w:val="71EEC09D"/>
    <w:rsid w:val="721B2043"/>
    <w:rsid w:val="75D457BF"/>
    <w:rsid w:val="75FFB7FE"/>
    <w:rsid w:val="76DFDA60"/>
    <w:rsid w:val="77336008"/>
    <w:rsid w:val="779F0F62"/>
    <w:rsid w:val="783C8884"/>
    <w:rsid w:val="79A7DDEB"/>
    <w:rsid w:val="79F7F0EA"/>
    <w:rsid w:val="7B255D67"/>
    <w:rsid w:val="7B6B0973"/>
    <w:rsid w:val="7B6B31D3"/>
    <w:rsid w:val="7B771896"/>
    <w:rsid w:val="7BF78776"/>
    <w:rsid w:val="7BFCE01A"/>
    <w:rsid w:val="7CFEEB1A"/>
    <w:rsid w:val="7D66278C"/>
    <w:rsid w:val="7D857F39"/>
    <w:rsid w:val="7DB8568D"/>
    <w:rsid w:val="7DF2D672"/>
    <w:rsid w:val="7DFF0FEF"/>
    <w:rsid w:val="7EDFDA68"/>
    <w:rsid w:val="7EEF00D0"/>
    <w:rsid w:val="7EFF4996"/>
    <w:rsid w:val="7EFF7A79"/>
    <w:rsid w:val="7EFFE5DE"/>
    <w:rsid w:val="7FCF0884"/>
    <w:rsid w:val="7FE86EF1"/>
    <w:rsid w:val="7FFF57EC"/>
    <w:rsid w:val="80D5F818"/>
    <w:rsid w:val="96FFC24E"/>
    <w:rsid w:val="98F5D7A5"/>
    <w:rsid w:val="991EA076"/>
    <w:rsid w:val="9D5B3A91"/>
    <w:rsid w:val="9FBF3A24"/>
    <w:rsid w:val="9FF35241"/>
    <w:rsid w:val="9FF7E228"/>
    <w:rsid w:val="A76A7AE5"/>
    <w:rsid w:val="ABFF9C0F"/>
    <w:rsid w:val="AE7313F2"/>
    <w:rsid w:val="AF7CA609"/>
    <w:rsid w:val="B5EB3B78"/>
    <w:rsid w:val="B7F92723"/>
    <w:rsid w:val="BD97CBD3"/>
    <w:rsid w:val="BDFDB560"/>
    <w:rsid w:val="BE6784F3"/>
    <w:rsid w:val="BFF5EE30"/>
    <w:rsid w:val="BFF658D8"/>
    <w:rsid w:val="BFFFA732"/>
    <w:rsid w:val="C7DE7BCC"/>
    <w:rsid w:val="CEFB1FB4"/>
    <w:rsid w:val="CFFFAE1C"/>
    <w:rsid w:val="D33B2A12"/>
    <w:rsid w:val="D75E7471"/>
    <w:rsid w:val="D7F6E4A2"/>
    <w:rsid w:val="DA7FBEFF"/>
    <w:rsid w:val="DBF6CB57"/>
    <w:rsid w:val="DDB54D82"/>
    <w:rsid w:val="DDE7C144"/>
    <w:rsid w:val="DEEE7333"/>
    <w:rsid w:val="DEFE9D4D"/>
    <w:rsid w:val="DEFF18AC"/>
    <w:rsid w:val="DF2B12BD"/>
    <w:rsid w:val="DF7C94A7"/>
    <w:rsid w:val="DFE6BDC9"/>
    <w:rsid w:val="E3FFA1CB"/>
    <w:rsid w:val="EBF7B6EB"/>
    <w:rsid w:val="EDA573AA"/>
    <w:rsid w:val="EDFF8017"/>
    <w:rsid w:val="EE7E2A76"/>
    <w:rsid w:val="EF7655FC"/>
    <w:rsid w:val="EFD6728B"/>
    <w:rsid w:val="EFD9C368"/>
    <w:rsid w:val="F32754E9"/>
    <w:rsid w:val="F3BD89C7"/>
    <w:rsid w:val="F4F38DA7"/>
    <w:rsid w:val="F7BD2D3C"/>
    <w:rsid w:val="F944E768"/>
    <w:rsid w:val="F97B9CED"/>
    <w:rsid w:val="FBCA352A"/>
    <w:rsid w:val="FBDEAF01"/>
    <w:rsid w:val="FBFF8460"/>
    <w:rsid w:val="FEFF94B6"/>
    <w:rsid w:val="FEFFA970"/>
    <w:rsid w:val="FF3CCC95"/>
    <w:rsid w:val="FF5E5E1D"/>
    <w:rsid w:val="FFC976B5"/>
    <w:rsid w:val="FFCE21FF"/>
    <w:rsid w:val="FFCFD576"/>
    <w:rsid w:val="FFD53294"/>
    <w:rsid w:val="FFDFC07E"/>
    <w:rsid w:val="FFEBFE35"/>
    <w:rsid w:val="FFEF3F42"/>
    <w:rsid w:val="FFF3A480"/>
    <w:rsid w:val="FFF54396"/>
    <w:rsid w:val="FFF7F79B"/>
    <w:rsid w:val="FFFE9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1"/>
    <w:pPr>
      <w:spacing w:after="120"/>
    </w:p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批注框文本 Char"/>
    <w:basedOn w:val="9"/>
    <w:link w:val="3"/>
    <w:qFormat/>
    <w:uiPriority w:val="0"/>
    <w:rPr>
      <w:kern w:val="2"/>
      <w:sz w:val="18"/>
      <w:szCs w:val="18"/>
    </w:rPr>
  </w:style>
  <w:style w:type="character" w:customStyle="1" w:styleId="15">
    <w:name w:val="段 Char"/>
    <w:link w:val="11"/>
    <w:qFormat/>
    <w:uiPriority w:val="0"/>
    <w:rPr>
      <w:rFonts w:ascii="宋体"/>
      <w:sz w:val="21"/>
    </w:rPr>
  </w:style>
  <w:style w:type="character" w:customStyle="1" w:styleId="16">
    <w:name w:val="一级条标题 Char"/>
    <w:link w:val="17"/>
    <w:qFormat/>
    <w:uiPriority w:val="0"/>
    <w:rPr>
      <w:rFonts w:ascii="黑体" w:eastAsia="黑体"/>
      <w:sz w:val="21"/>
      <w:szCs w:val="21"/>
    </w:rPr>
  </w:style>
  <w:style w:type="paragraph" w:customStyle="1" w:styleId="17">
    <w:name w:val="一级条标题"/>
    <w:next w:val="11"/>
    <w:link w:val="1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Body text|1"/>
    <w:basedOn w:val="1"/>
    <w:link w:val="19"/>
    <w:qFormat/>
    <w:uiPriority w:val="0"/>
    <w:pPr>
      <w:spacing w:after="160" w:line="480" w:lineRule="auto"/>
      <w:jc w:val="left"/>
    </w:pPr>
    <w:rPr>
      <w:rFonts w:ascii="宋体" w:hAnsi="宋体" w:cs="宋体"/>
      <w:kern w:val="0"/>
      <w:sz w:val="18"/>
      <w:szCs w:val="18"/>
      <w:lang w:val="zh-TW" w:eastAsia="zh-TW" w:bidi="zh-TW"/>
    </w:rPr>
  </w:style>
  <w:style w:type="character" w:customStyle="1" w:styleId="19">
    <w:name w:val="Body text|1_"/>
    <w:basedOn w:val="9"/>
    <w:link w:val="18"/>
    <w:qFormat/>
    <w:uiPriority w:val="0"/>
    <w:rPr>
      <w:rFonts w:ascii="宋体" w:hAnsi="宋体" w:cs="宋体"/>
      <w:sz w:val="18"/>
      <w:szCs w:val="18"/>
      <w:lang w:val="zh-TW" w:eastAsia="zh-TW" w:bidi="zh-TW"/>
    </w:rPr>
  </w:style>
  <w:style w:type="character" w:styleId="20">
    <w:name w:val="Placeholder Text"/>
    <w:basedOn w:val="9"/>
    <w:semiHidden/>
    <w:qFormat/>
    <w:uiPriority w:val="99"/>
    <w:rPr>
      <w:color w:val="808080"/>
    </w:rPr>
  </w:style>
  <w:style w:type="paragraph" w:styleId="21">
    <w:name w:val="List Paragraph"/>
    <w:basedOn w:val="1"/>
    <w:qFormat/>
    <w:uiPriority w:val="1"/>
    <w:pPr>
      <w:ind w:firstLine="420" w:firstLineChars="200"/>
    </w:pPr>
  </w:style>
  <w:style w:type="paragraph" w:customStyle="1" w:styleId="22">
    <w:name w:val="章标题"/>
    <w:next w:val="1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23">
    <w:name w:val="正文文本 Char"/>
    <w:basedOn w:val="9"/>
    <w:semiHidden/>
    <w:qFormat/>
    <w:uiPriority w:val="0"/>
    <w:rPr>
      <w:kern w:val="2"/>
      <w:sz w:val="21"/>
      <w:szCs w:val="24"/>
    </w:rPr>
  </w:style>
  <w:style w:type="character" w:customStyle="1" w:styleId="24">
    <w:name w:val="正文文本 Char1"/>
    <w:link w:val="2"/>
    <w:qFormat/>
    <w:uiPriority w:val="1"/>
    <w:rPr>
      <w:kern w:val="2"/>
      <w:sz w:val="21"/>
      <w:szCs w:val="24"/>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标准文件_一级条标题"/>
    <w:basedOn w:val="29"/>
    <w:next w:val="27"/>
    <w:autoRedefine/>
    <w:qFormat/>
    <w:uiPriority w:val="0"/>
    <w:pPr>
      <w:numPr>
        <w:ilvl w:val="2"/>
      </w:numPr>
      <w:spacing w:before="50" w:beforeLines="50" w:after="50" w:afterLines="50"/>
      <w:outlineLvl w:val="1"/>
    </w:pPr>
  </w:style>
  <w:style w:type="paragraph" w:customStyle="1" w:styleId="29">
    <w:name w:val="标准文件_章标题"/>
    <w:next w:val="2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b3c4c05-e65b-42c0-9507-1e3683f6bcf9}"/>
        <w:style w:val=""/>
        <w:category>
          <w:name w:val="常规"/>
          <w:gallery w:val="placeholder"/>
        </w:category>
        <w:types>
          <w:type w:val="bbPlcHdr"/>
        </w:types>
        <w:behaviors>
          <w:behavior w:val="content"/>
        </w:behaviors>
        <w:description w:val=""/>
        <w:guid w:val="{db3c4c05-e65b-42c0-9507-1e3683f6bcf9}"/>
      </w:docPartPr>
      <w:docPartBody>
        <w:p w14:paraId="2140CA68">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autoRedefine/>
    <w:semiHidden/>
    <w:unhideWhenUsed/>
    <w:qFormat/>
    <w:uiPriority w:val="1"/>
  </w:style>
  <w:style w:type="paragraph" w:customStyle="1" w:styleId="2">
    <w:name w:val="83ED25D072D64ECAB027022E46C80DC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9A0B-86E8-48F4-BFB4-12AB7F0B9A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3744</Words>
  <Characters>4051</Characters>
  <Lines>35</Lines>
  <Paragraphs>10</Paragraphs>
  <TotalTime>0</TotalTime>
  <ScaleCrop>false</ScaleCrop>
  <LinksUpToDate>false</LinksUpToDate>
  <CharactersWithSpaces>4110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2024-06-18T01:41:00Z</dcterms:created>
  <dc:creator>小羽</dc:creator>
  <cp:lastModifiedBy>微信用户</cp:lastModifiedBy>
  <cp:lastPrinted>2023-02-21T07:24:00Z</cp:lastPrinted>
  <dcterms:modified xsi:type="dcterms:W3CDTF">2024-11-15T01:13:37Z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80FD06F2A9CB41729E0DED6261EC20B6_13</vt:lpwstr>
  </property>
</Properties>
</file>