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0C3F7">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黄山市地方</w:t>
      </w:r>
      <w:r>
        <w:rPr>
          <w:rFonts w:hint="eastAsia" w:ascii="方正小标宋简体" w:hAnsi="方正小标宋简体" w:eastAsia="方正小标宋简体" w:cs="方正小标宋简体"/>
          <w:sz w:val="32"/>
          <w:szCs w:val="32"/>
        </w:rPr>
        <w:t>标准编制说明</w:t>
      </w:r>
    </w:p>
    <w:tbl>
      <w:tblPr>
        <w:tblStyle w:val="12"/>
        <w:tblW w:w="8606"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7"/>
        <w:gridCol w:w="2811"/>
        <w:gridCol w:w="1257"/>
        <w:gridCol w:w="1269"/>
        <w:gridCol w:w="1553"/>
      </w:tblGrid>
      <w:tr w14:paraId="26CE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16" w:type="dxa"/>
            <w:gridSpan w:val="2"/>
            <w:vAlign w:val="center"/>
          </w:tcPr>
          <w:p w14:paraId="294E78A7">
            <w:pPr>
              <w:jc w:val="center"/>
            </w:pPr>
            <w:r>
              <w:rPr>
                <w:rFonts w:hint="eastAsia"/>
              </w:rPr>
              <w:t>标准名称</w:t>
            </w:r>
          </w:p>
        </w:tc>
        <w:tc>
          <w:tcPr>
            <w:tcW w:w="6890" w:type="dxa"/>
            <w:gridSpan w:val="4"/>
            <w:vAlign w:val="center"/>
          </w:tcPr>
          <w:p w14:paraId="7A1FFBE1">
            <w:pPr>
              <w:pStyle w:val="38"/>
              <w:widowControl/>
              <w:jc w:val="both"/>
              <w:rPr>
                <w:rFonts w:hint="eastAsia"/>
              </w:rPr>
            </w:pPr>
            <w:r>
              <w:rPr>
                <w:rFonts w:hint="eastAsia" w:ascii="Calibri" w:hAnsi="Calibri" w:eastAsia="宋体" w:cs="Times New Roman"/>
                <w:b w:val="0"/>
                <w:bCs w:val="0"/>
                <w:kern w:val="2"/>
                <w:sz w:val="21"/>
                <w:szCs w:val="24"/>
                <w:highlight w:val="none"/>
                <w:lang w:val="en-US" w:eastAsia="zh-CN" w:bidi="ar-SA"/>
              </w:rPr>
              <w:t>坑上栖茶生态种植技术规程</w:t>
            </w:r>
          </w:p>
        </w:tc>
      </w:tr>
      <w:tr w14:paraId="2315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6" w:type="dxa"/>
            <w:gridSpan w:val="2"/>
            <w:vAlign w:val="center"/>
          </w:tcPr>
          <w:p w14:paraId="44D1437D">
            <w:pPr>
              <w:ind w:firstLine="315" w:firstLineChars="150"/>
              <w:jc w:val="center"/>
              <w:rPr>
                <w:color w:val="000000"/>
              </w:rPr>
            </w:pPr>
            <w:r>
              <w:rPr>
                <w:rFonts w:hint="eastAsia"/>
                <w:color w:val="000000"/>
              </w:rPr>
              <w:t>任务来源</w:t>
            </w:r>
          </w:p>
          <w:p w14:paraId="31E1EBC3">
            <w:pPr>
              <w:jc w:val="center"/>
              <w:rPr>
                <w:color w:val="000000"/>
              </w:rPr>
            </w:pPr>
            <w:r>
              <w:rPr>
                <w:rFonts w:hint="eastAsia"/>
                <w:color w:val="000000"/>
              </w:rPr>
              <w:t>（项目计划号）</w:t>
            </w:r>
          </w:p>
        </w:tc>
        <w:tc>
          <w:tcPr>
            <w:tcW w:w="6890" w:type="dxa"/>
            <w:gridSpan w:val="4"/>
            <w:vAlign w:val="center"/>
          </w:tcPr>
          <w:p w14:paraId="2AE70236">
            <w:pPr>
              <w:jc w:val="both"/>
              <w:rPr>
                <w:rFonts w:hint="default" w:ascii="Calibri" w:hAnsi="Calibri" w:eastAsia="宋体" w:cs="Times New Roman"/>
                <w:b w:val="0"/>
                <w:bCs w:val="0"/>
                <w:kern w:val="2"/>
                <w:sz w:val="21"/>
                <w:szCs w:val="24"/>
                <w:highlight w:val="none"/>
                <w:lang w:val="en-US" w:eastAsia="zh-CN" w:bidi="ar-SA"/>
              </w:rPr>
            </w:pPr>
          </w:p>
          <w:p w14:paraId="5F516FFC">
            <w:pPr>
              <w:jc w:val="both"/>
              <w:rPr>
                <w:rFonts w:hint="default" w:ascii="微软雅黑" w:hAnsi="微软雅黑" w:eastAsia="微软雅黑" w:cs="微软雅黑"/>
                <w:i w:val="0"/>
                <w:iCs w:val="0"/>
                <w:caps w:val="0"/>
                <w:color w:val="333333"/>
                <w:spacing w:val="0"/>
                <w:sz w:val="24"/>
                <w:szCs w:val="24"/>
                <w:shd w:val="clear" w:fill="FFFFFF"/>
                <w:lang w:val="en-US" w:eastAsia="zh-CN"/>
              </w:rPr>
            </w:pPr>
            <w:r>
              <w:rPr>
                <w:rFonts w:hint="eastAsia" w:ascii="Calibri" w:hAnsi="Calibri" w:eastAsia="宋体" w:cs="Times New Roman"/>
                <w:b w:val="0"/>
                <w:bCs w:val="0"/>
                <w:kern w:val="2"/>
                <w:sz w:val="21"/>
                <w:szCs w:val="24"/>
                <w:highlight w:val="none"/>
                <w:lang w:val="en-US" w:eastAsia="zh-CN" w:bidi="ar-SA"/>
              </w:rPr>
              <w:t>黄山市市场监督管理局</w:t>
            </w:r>
            <w:r>
              <w:rPr>
                <w:rFonts w:hint="eastAsia"/>
                <w:highlight w:val="none"/>
              </w:rPr>
              <w:t>《关于下达2024年黄山市地方标准制修订计划的通知》（黄市监函〔2024〕104号）</w:t>
            </w:r>
          </w:p>
        </w:tc>
      </w:tr>
      <w:tr w14:paraId="2C6D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6" w:type="dxa"/>
            <w:gridSpan w:val="2"/>
            <w:vAlign w:val="center"/>
          </w:tcPr>
          <w:p w14:paraId="7C219BA5">
            <w:pPr>
              <w:jc w:val="center"/>
              <w:rPr>
                <w:color w:val="000000"/>
              </w:rPr>
            </w:pPr>
            <w:r>
              <w:rPr>
                <w:rFonts w:hint="eastAsia"/>
                <w:color w:val="000000"/>
              </w:rPr>
              <w:t>第一起草单位</w:t>
            </w:r>
          </w:p>
          <w:p w14:paraId="4EEBA500">
            <w:pPr>
              <w:jc w:val="center"/>
              <w:rPr>
                <w:color w:val="000000"/>
              </w:rPr>
            </w:pPr>
            <w:r>
              <w:rPr>
                <w:rFonts w:hint="eastAsia"/>
                <w:color w:val="000000"/>
              </w:rPr>
              <w:t>（盖章）</w:t>
            </w:r>
          </w:p>
        </w:tc>
        <w:tc>
          <w:tcPr>
            <w:tcW w:w="6890" w:type="dxa"/>
            <w:gridSpan w:val="4"/>
            <w:vAlign w:val="center"/>
          </w:tcPr>
          <w:p w14:paraId="30972014">
            <w:pPr>
              <w:rPr>
                <w:rFonts w:hint="default" w:ascii="Times New Roman" w:hAnsi="Times New Roman" w:eastAsia="宋体" w:cs="Times New Roman"/>
                <w:highlight w:val="none"/>
                <w:lang w:val="en-US" w:eastAsia="zh-CN"/>
              </w:rPr>
            </w:pPr>
            <w:r>
              <w:rPr>
                <w:rFonts w:hint="eastAsia" w:eastAsia="宋体" w:cs="Times New Roman"/>
                <w:b w:val="0"/>
                <w:bCs w:val="0"/>
                <w:kern w:val="2"/>
                <w:sz w:val="21"/>
                <w:szCs w:val="24"/>
                <w:highlight w:val="none"/>
                <w:lang w:val="en-US" w:eastAsia="zh-CN" w:bidi="ar-SA"/>
              </w:rPr>
              <w:t>徽州区西溪南镇坑上村经济合作社</w:t>
            </w:r>
          </w:p>
        </w:tc>
      </w:tr>
      <w:tr w14:paraId="2E63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16" w:type="dxa"/>
            <w:gridSpan w:val="2"/>
            <w:vAlign w:val="center"/>
          </w:tcPr>
          <w:p w14:paraId="161E91EA">
            <w:pPr>
              <w:jc w:val="center"/>
              <w:rPr>
                <w:color w:val="000000"/>
                <w:highlight w:val="yellow"/>
              </w:rPr>
            </w:pPr>
            <w:r>
              <w:rPr>
                <w:rFonts w:hint="eastAsia"/>
                <w:color w:val="000000"/>
                <w:highlight w:val="none"/>
              </w:rPr>
              <w:t>单位地址</w:t>
            </w:r>
          </w:p>
        </w:tc>
        <w:tc>
          <w:tcPr>
            <w:tcW w:w="6890" w:type="dxa"/>
            <w:gridSpan w:val="4"/>
          </w:tcPr>
          <w:p w14:paraId="49E8670B">
            <w:pPr>
              <w:rPr>
                <w:rFonts w:hint="default" w:ascii="Calibri" w:hAnsi="Calibri" w:eastAsia="宋体" w:cs="Times New Roman"/>
                <w:b w:val="0"/>
                <w:bCs w:val="0"/>
                <w:kern w:val="2"/>
                <w:sz w:val="21"/>
                <w:szCs w:val="24"/>
                <w:highlight w:val="none"/>
                <w:lang w:val="en-US" w:eastAsia="zh-CN" w:bidi="ar-SA"/>
              </w:rPr>
            </w:pPr>
            <w:r>
              <w:rPr>
                <w:rFonts w:hint="eastAsia" w:ascii="Calibri" w:hAnsi="Calibri" w:eastAsia="宋体" w:cs="Times New Roman"/>
                <w:b w:val="0"/>
                <w:bCs w:val="0"/>
                <w:kern w:val="2"/>
                <w:sz w:val="21"/>
                <w:szCs w:val="24"/>
                <w:highlight w:val="none"/>
                <w:lang w:val="en-US" w:eastAsia="zh-CN" w:bidi="ar-SA"/>
              </w:rPr>
              <w:t>安徽省黄山市徽州区西溪南镇坑上村委会</w:t>
            </w:r>
          </w:p>
        </w:tc>
      </w:tr>
      <w:tr w14:paraId="7B63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716" w:type="dxa"/>
            <w:gridSpan w:val="2"/>
            <w:vAlign w:val="center"/>
          </w:tcPr>
          <w:p w14:paraId="32520C5B">
            <w:pPr>
              <w:jc w:val="center"/>
            </w:pPr>
            <w:r>
              <w:rPr>
                <w:rFonts w:hint="eastAsia"/>
              </w:rPr>
              <w:t>参与起草单位</w:t>
            </w:r>
          </w:p>
        </w:tc>
        <w:tc>
          <w:tcPr>
            <w:tcW w:w="6890" w:type="dxa"/>
            <w:gridSpan w:val="4"/>
          </w:tcPr>
          <w:p w14:paraId="32DBD516">
            <w:pPr>
              <w:pStyle w:val="21"/>
              <w:ind w:left="0" w:leftChars="0" w:firstLine="0" w:firstLineChars="0"/>
              <w:rPr>
                <w:rFonts w:hint="default" w:ascii="Calibri" w:hAnsi="Calibri" w:eastAsia="宋体" w:cs="Times New Roman"/>
                <w:b w:val="0"/>
                <w:bCs w:val="0"/>
                <w:kern w:val="2"/>
                <w:sz w:val="21"/>
                <w:szCs w:val="24"/>
                <w:highlight w:val="none"/>
                <w:lang w:val="en-US" w:eastAsia="zh-CN" w:bidi="ar-SA"/>
              </w:rPr>
            </w:pPr>
            <w:r>
              <w:rPr>
                <w:rFonts w:hint="eastAsia" w:ascii="Calibri" w:hAnsi="Calibri" w:eastAsia="宋体" w:cs="Times New Roman"/>
                <w:b w:val="0"/>
                <w:bCs w:val="0"/>
                <w:kern w:val="2"/>
                <w:sz w:val="21"/>
                <w:szCs w:val="24"/>
                <w:highlight w:val="none"/>
                <w:lang w:val="en-US" w:eastAsia="zh-CN" w:bidi="ar-SA"/>
              </w:rPr>
              <w:t>西溪南镇人民政府、黄山市徽州区市场监督管理局、黄山市徽州区农业农村局、黄山高质量发展研究院</w:t>
            </w:r>
            <w:r>
              <w:rPr>
                <w:rFonts w:hint="eastAsia" w:ascii="Calibri" w:hAnsi="Calibri" w:cs="Times New Roman"/>
                <w:b w:val="0"/>
                <w:bCs w:val="0"/>
                <w:kern w:val="2"/>
                <w:sz w:val="21"/>
                <w:szCs w:val="24"/>
                <w:highlight w:val="none"/>
                <w:lang w:val="en-US" w:eastAsia="zh-CN" w:bidi="ar-SA"/>
              </w:rPr>
              <w:t>、中国计量大学</w:t>
            </w:r>
            <w:r>
              <w:rPr>
                <w:rFonts w:hint="eastAsia" w:ascii="Calibri" w:hAnsi="Calibri" w:eastAsia="宋体" w:cs="Times New Roman"/>
                <w:b w:val="0"/>
                <w:bCs w:val="0"/>
                <w:kern w:val="2"/>
                <w:sz w:val="21"/>
                <w:szCs w:val="24"/>
                <w:highlight w:val="none"/>
                <w:lang w:val="en-US" w:eastAsia="zh-CN" w:bidi="ar-SA"/>
              </w:rPr>
              <w:t>等。</w:t>
            </w:r>
          </w:p>
        </w:tc>
      </w:tr>
      <w:tr w14:paraId="315C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8606" w:type="dxa"/>
            <w:gridSpan w:val="6"/>
            <w:vAlign w:val="center"/>
          </w:tcPr>
          <w:p w14:paraId="1BFC5D7A">
            <w:pPr>
              <w:jc w:val="center"/>
            </w:pPr>
            <w:r>
              <w:rPr>
                <w:rFonts w:hint="eastAsia"/>
              </w:rPr>
              <w:t>（全部起草人，应于标准文本前言中起草人排序一致）</w:t>
            </w:r>
          </w:p>
        </w:tc>
      </w:tr>
      <w:tr w14:paraId="0875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09" w:type="dxa"/>
            <w:vAlign w:val="center"/>
          </w:tcPr>
          <w:p w14:paraId="5115BBC8">
            <w:pPr>
              <w:jc w:val="center"/>
              <w:rPr>
                <w:b/>
                <w:bCs/>
                <w:color w:val="000000"/>
              </w:rPr>
            </w:pPr>
            <w:r>
              <w:rPr>
                <w:rFonts w:hint="eastAsia"/>
                <w:b/>
                <w:bCs/>
                <w:color w:val="000000"/>
              </w:rPr>
              <w:t>序号</w:t>
            </w:r>
          </w:p>
        </w:tc>
        <w:tc>
          <w:tcPr>
            <w:tcW w:w="1007" w:type="dxa"/>
            <w:vAlign w:val="center"/>
          </w:tcPr>
          <w:p w14:paraId="64424240">
            <w:pPr>
              <w:jc w:val="center"/>
              <w:rPr>
                <w:b/>
                <w:bCs/>
                <w:color w:val="000000"/>
                <w:highlight w:val="none"/>
              </w:rPr>
            </w:pPr>
            <w:r>
              <w:rPr>
                <w:rFonts w:hint="eastAsia"/>
                <w:b/>
                <w:bCs/>
                <w:color w:val="000000"/>
                <w:highlight w:val="none"/>
              </w:rPr>
              <w:t>姓名</w:t>
            </w:r>
          </w:p>
        </w:tc>
        <w:tc>
          <w:tcPr>
            <w:tcW w:w="2811" w:type="dxa"/>
            <w:vAlign w:val="center"/>
          </w:tcPr>
          <w:p w14:paraId="3C5ADF7C">
            <w:pPr>
              <w:jc w:val="center"/>
              <w:rPr>
                <w:b/>
                <w:bCs/>
                <w:color w:val="000000"/>
                <w:highlight w:val="none"/>
              </w:rPr>
            </w:pPr>
            <w:r>
              <w:rPr>
                <w:rFonts w:hint="eastAsia"/>
                <w:b/>
                <w:bCs/>
                <w:color w:val="000000"/>
                <w:highlight w:val="none"/>
              </w:rPr>
              <w:t>单位</w:t>
            </w:r>
          </w:p>
        </w:tc>
        <w:tc>
          <w:tcPr>
            <w:tcW w:w="1257" w:type="dxa"/>
            <w:vAlign w:val="center"/>
          </w:tcPr>
          <w:p w14:paraId="3FA2E762">
            <w:pPr>
              <w:jc w:val="center"/>
              <w:rPr>
                <w:b/>
                <w:bCs/>
                <w:color w:val="000000"/>
              </w:rPr>
            </w:pPr>
            <w:r>
              <w:rPr>
                <w:rFonts w:hint="eastAsia"/>
                <w:b/>
                <w:bCs/>
                <w:color w:val="000000"/>
              </w:rPr>
              <w:t>职务</w:t>
            </w:r>
          </w:p>
        </w:tc>
        <w:tc>
          <w:tcPr>
            <w:tcW w:w="1269" w:type="dxa"/>
            <w:vAlign w:val="center"/>
          </w:tcPr>
          <w:p w14:paraId="4101D5F3">
            <w:pPr>
              <w:jc w:val="center"/>
              <w:rPr>
                <w:b/>
                <w:bCs/>
                <w:color w:val="000000"/>
              </w:rPr>
            </w:pPr>
            <w:r>
              <w:rPr>
                <w:rFonts w:hint="eastAsia"/>
                <w:b/>
                <w:bCs/>
                <w:color w:val="000000"/>
              </w:rPr>
              <w:t>职称</w:t>
            </w:r>
          </w:p>
        </w:tc>
        <w:tc>
          <w:tcPr>
            <w:tcW w:w="1553" w:type="dxa"/>
            <w:vAlign w:val="center"/>
          </w:tcPr>
          <w:p w14:paraId="3F6EE00D">
            <w:pPr>
              <w:jc w:val="center"/>
              <w:rPr>
                <w:b/>
                <w:bCs/>
                <w:color w:val="000000"/>
              </w:rPr>
            </w:pPr>
            <w:r>
              <w:rPr>
                <w:rFonts w:hint="eastAsia"/>
                <w:b/>
                <w:bCs/>
                <w:color w:val="000000"/>
              </w:rPr>
              <w:t>电话</w:t>
            </w:r>
          </w:p>
        </w:tc>
      </w:tr>
      <w:tr w14:paraId="2687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09" w:type="dxa"/>
            <w:vAlign w:val="center"/>
          </w:tcPr>
          <w:p w14:paraId="1DB24496">
            <w:pPr>
              <w:jc w:val="left"/>
            </w:pPr>
          </w:p>
        </w:tc>
        <w:tc>
          <w:tcPr>
            <w:tcW w:w="1007" w:type="dxa"/>
            <w:vAlign w:val="center"/>
          </w:tcPr>
          <w:p w14:paraId="344A90DC">
            <w:pPr>
              <w:jc w:val="left"/>
              <w:rPr>
                <w:highlight w:val="yellow"/>
              </w:rPr>
            </w:pPr>
          </w:p>
        </w:tc>
        <w:tc>
          <w:tcPr>
            <w:tcW w:w="2811" w:type="dxa"/>
            <w:vAlign w:val="center"/>
          </w:tcPr>
          <w:p w14:paraId="41A693A7">
            <w:pPr>
              <w:pStyle w:val="18"/>
              <w:ind w:firstLine="0" w:firstLineChars="0"/>
              <w:jc w:val="left"/>
              <w:rPr>
                <w:rFonts w:hint="default" w:ascii="Calibri" w:hAnsi="Calibri" w:eastAsia="宋体"/>
                <w:kern w:val="2"/>
                <w:szCs w:val="24"/>
                <w:highlight w:val="yellow"/>
                <w:lang w:val="en-US" w:eastAsia="zh-CN"/>
              </w:rPr>
            </w:pPr>
          </w:p>
        </w:tc>
        <w:tc>
          <w:tcPr>
            <w:tcW w:w="1257" w:type="dxa"/>
            <w:vAlign w:val="center"/>
          </w:tcPr>
          <w:p w14:paraId="724B1DB3"/>
        </w:tc>
        <w:tc>
          <w:tcPr>
            <w:tcW w:w="1269" w:type="dxa"/>
            <w:vAlign w:val="center"/>
          </w:tcPr>
          <w:p w14:paraId="22C5E11D"/>
        </w:tc>
        <w:tc>
          <w:tcPr>
            <w:tcW w:w="1553" w:type="dxa"/>
            <w:vAlign w:val="center"/>
          </w:tcPr>
          <w:p w14:paraId="3DFA78E2">
            <w:pPr>
              <w:jc w:val="left"/>
            </w:pPr>
          </w:p>
        </w:tc>
      </w:tr>
      <w:tr w14:paraId="72B0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Align w:val="center"/>
          </w:tcPr>
          <w:p w14:paraId="1580142C">
            <w:pPr>
              <w:jc w:val="left"/>
              <w:rPr>
                <w:rFonts w:hint="eastAsia" w:eastAsia="宋体"/>
                <w:lang w:val="en-US" w:eastAsia="zh-CN"/>
              </w:rPr>
            </w:pPr>
          </w:p>
        </w:tc>
        <w:tc>
          <w:tcPr>
            <w:tcW w:w="1007" w:type="dxa"/>
            <w:vAlign w:val="center"/>
          </w:tcPr>
          <w:p w14:paraId="76974528">
            <w:pPr>
              <w:jc w:val="left"/>
              <w:rPr>
                <w:rFonts w:hint="eastAsia"/>
              </w:rPr>
            </w:pPr>
          </w:p>
        </w:tc>
        <w:tc>
          <w:tcPr>
            <w:tcW w:w="2811" w:type="dxa"/>
            <w:vAlign w:val="center"/>
          </w:tcPr>
          <w:p w14:paraId="2A6AEEB3">
            <w:pPr>
              <w:pStyle w:val="18"/>
              <w:ind w:firstLine="0" w:firstLineChars="0"/>
              <w:jc w:val="left"/>
              <w:rPr>
                <w:rFonts w:hint="eastAsia"/>
              </w:rPr>
            </w:pPr>
          </w:p>
        </w:tc>
        <w:tc>
          <w:tcPr>
            <w:tcW w:w="1257" w:type="dxa"/>
            <w:vAlign w:val="center"/>
          </w:tcPr>
          <w:p w14:paraId="13CEF0C4"/>
        </w:tc>
        <w:tc>
          <w:tcPr>
            <w:tcW w:w="1269" w:type="dxa"/>
            <w:vAlign w:val="center"/>
          </w:tcPr>
          <w:p w14:paraId="3ED9451B"/>
        </w:tc>
        <w:tc>
          <w:tcPr>
            <w:tcW w:w="1553" w:type="dxa"/>
            <w:vAlign w:val="center"/>
          </w:tcPr>
          <w:p w14:paraId="21281372">
            <w:pPr>
              <w:jc w:val="left"/>
            </w:pPr>
          </w:p>
        </w:tc>
      </w:tr>
      <w:tr w14:paraId="559D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Align w:val="center"/>
          </w:tcPr>
          <w:p w14:paraId="4F63347E">
            <w:pPr>
              <w:jc w:val="left"/>
            </w:pPr>
          </w:p>
        </w:tc>
        <w:tc>
          <w:tcPr>
            <w:tcW w:w="1007" w:type="dxa"/>
            <w:vAlign w:val="center"/>
          </w:tcPr>
          <w:p w14:paraId="24D97479">
            <w:pPr>
              <w:jc w:val="left"/>
            </w:pPr>
          </w:p>
        </w:tc>
        <w:tc>
          <w:tcPr>
            <w:tcW w:w="2811" w:type="dxa"/>
            <w:vAlign w:val="center"/>
          </w:tcPr>
          <w:p w14:paraId="45A85BB0">
            <w:pPr>
              <w:jc w:val="left"/>
            </w:pPr>
          </w:p>
        </w:tc>
        <w:tc>
          <w:tcPr>
            <w:tcW w:w="1257" w:type="dxa"/>
            <w:vAlign w:val="center"/>
          </w:tcPr>
          <w:p w14:paraId="71C3DE6B"/>
        </w:tc>
        <w:tc>
          <w:tcPr>
            <w:tcW w:w="1269" w:type="dxa"/>
            <w:vAlign w:val="center"/>
          </w:tcPr>
          <w:p w14:paraId="27BEABAB"/>
        </w:tc>
        <w:tc>
          <w:tcPr>
            <w:tcW w:w="1553" w:type="dxa"/>
            <w:vAlign w:val="center"/>
          </w:tcPr>
          <w:p w14:paraId="05D444B4">
            <w:pPr>
              <w:jc w:val="left"/>
            </w:pPr>
          </w:p>
        </w:tc>
      </w:tr>
      <w:tr w14:paraId="151E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Align w:val="center"/>
          </w:tcPr>
          <w:p w14:paraId="48C0BC08">
            <w:pPr>
              <w:jc w:val="left"/>
              <w:rPr>
                <w:rFonts w:hint="eastAsia"/>
              </w:rPr>
            </w:pPr>
          </w:p>
        </w:tc>
        <w:tc>
          <w:tcPr>
            <w:tcW w:w="1007" w:type="dxa"/>
            <w:vAlign w:val="center"/>
          </w:tcPr>
          <w:p w14:paraId="796B3B19">
            <w:pPr>
              <w:jc w:val="left"/>
              <w:rPr>
                <w:rFonts w:hint="eastAsia"/>
              </w:rPr>
            </w:pPr>
          </w:p>
        </w:tc>
        <w:tc>
          <w:tcPr>
            <w:tcW w:w="2811" w:type="dxa"/>
            <w:vAlign w:val="center"/>
          </w:tcPr>
          <w:p w14:paraId="0F499C89">
            <w:pPr>
              <w:jc w:val="left"/>
              <w:rPr>
                <w:rFonts w:hint="eastAsia" w:eastAsia="宋体"/>
                <w:lang w:eastAsia="zh-CN"/>
              </w:rPr>
            </w:pPr>
          </w:p>
        </w:tc>
        <w:tc>
          <w:tcPr>
            <w:tcW w:w="1257" w:type="dxa"/>
            <w:vAlign w:val="center"/>
          </w:tcPr>
          <w:p w14:paraId="7B33C31F">
            <w:pPr>
              <w:rPr>
                <w:rFonts w:hint="eastAsia"/>
              </w:rPr>
            </w:pPr>
          </w:p>
        </w:tc>
        <w:tc>
          <w:tcPr>
            <w:tcW w:w="1269" w:type="dxa"/>
            <w:vAlign w:val="center"/>
          </w:tcPr>
          <w:p w14:paraId="56BA2FBB">
            <w:pPr>
              <w:rPr>
                <w:rFonts w:hint="eastAsia"/>
              </w:rPr>
            </w:pPr>
          </w:p>
        </w:tc>
        <w:tc>
          <w:tcPr>
            <w:tcW w:w="1553" w:type="dxa"/>
            <w:vAlign w:val="center"/>
          </w:tcPr>
          <w:p w14:paraId="1B9479DE">
            <w:pPr>
              <w:jc w:val="left"/>
              <w:rPr>
                <w:rFonts w:hint="eastAsia"/>
              </w:rPr>
            </w:pPr>
          </w:p>
        </w:tc>
      </w:tr>
      <w:tr w14:paraId="5939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Align w:val="center"/>
          </w:tcPr>
          <w:p w14:paraId="66625FE4">
            <w:pPr>
              <w:jc w:val="left"/>
              <w:rPr>
                <w:rFonts w:hint="eastAsia"/>
              </w:rPr>
            </w:pPr>
          </w:p>
        </w:tc>
        <w:tc>
          <w:tcPr>
            <w:tcW w:w="1007" w:type="dxa"/>
            <w:vAlign w:val="center"/>
          </w:tcPr>
          <w:p w14:paraId="5A580244">
            <w:pPr>
              <w:jc w:val="left"/>
              <w:rPr>
                <w:rFonts w:hint="eastAsia"/>
              </w:rPr>
            </w:pPr>
          </w:p>
        </w:tc>
        <w:tc>
          <w:tcPr>
            <w:tcW w:w="2811" w:type="dxa"/>
            <w:vAlign w:val="center"/>
          </w:tcPr>
          <w:p w14:paraId="38664AAA">
            <w:pPr>
              <w:jc w:val="left"/>
              <w:rPr>
                <w:rFonts w:hint="eastAsia"/>
              </w:rPr>
            </w:pPr>
          </w:p>
        </w:tc>
        <w:tc>
          <w:tcPr>
            <w:tcW w:w="1257" w:type="dxa"/>
            <w:vAlign w:val="center"/>
          </w:tcPr>
          <w:p w14:paraId="631B96FC"/>
        </w:tc>
        <w:tc>
          <w:tcPr>
            <w:tcW w:w="1269" w:type="dxa"/>
            <w:vAlign w:val="center"/>
          </w:tcPr>
          <w:p w14:paraId="4CA4D9F7"/>
        </w:tc>
        <w:tc>
          <w:tcPr>
            <w:tcW w:w="1553" w:type="dxa"/>
            <w:vAlign w:val="center"/>
          </w:tcPr>
          <w:p w14:paraId="487C4206">
            <w:pPr>
              <w:jc w:val="left"/>
            </w:pPr>
          </w:p>
        </w:tc>
      </w:tr>
      <w:tr w14:paraId="5673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Align w:val="center"/>
          </w:tcPr>
          <w:p w14:paraId="6EE90D06">
            <w:pPr>
              <w:jc w:val="left"/>
              <w:rPr>
                <w:rFonts w:hint="eastAsia"/>
              </w:rPr>
            </w:pPr>
          </w:p>
        </w:tc>
        <w:tc>
          <w:tcPr>
            <w:tcW w:w="1007" w:type="dxa"/>
            <w:vAlign w:val="center"/>
          </w:tcPr>
          <w:p w14:paraId="199AEAB3">
            <w:pPr>
              <w:jc w:val="left"/>
              <w:rPr>
                <w:rFonts w:hint="eastAsia"/>
              </w:rPr>
            </w:pPr>
          </w:p>
        </w:tc>
        <w:tc>
          <w:tcPr>
            <w:tcW w:w="2811" w:type="dxa"/>
            <w:vAlign w:val="center"/>
          </w:tcPr>
          <w:p w14:paraId="7A1C38FF">
            <w:pPr>
              <w:jc w:val="left"/>
              <w:rPr>
                <w:rFonts w:hint="eastAsia"/>
                <w:lang w:val="en-US" w:eastAsia="zh-CN"/>
              </w:rPr>
            </w:pPr>
          </w:p>
        </w:tc>
        <w:tc>
          <w:tcPr>
            <w:tcW w:w="1257" w:type="dxa"/>
            <w:vAlign w:val="center"/>
          </w:tcPr>
          <w:p w14:paraId="2F805254"/>
        </w:tc>
        <w:tc>
          <w:tcPr>
            <w:tcW w:w="1269" w:type="dxa"/>
            <w:vAlign w:val="center"/>
          </w:tcPr>
          <w:p w14:paraId="59D557D1"/>
        </w:tc>
        <w:tc>
          <w:tcPr>
            <w:tcW w:w="1553" w:type="dxa"/>
            <w:vAlign w:val="center"/>
          </w:tcPr>
          <w:p w14:paraId="3EF54D39">
            <w:pPr>
              <w:jc w:val="left"/>
            </w:pPr>
          </w:p>
        </w:tc>
      </w:tr>
      <w:tr w14:paraId="2AB2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Align w:val="center"/>
          </w:tcPr>
          <w:p w14:paraId="44B28710">
            <w:pPr>
              <w:jc w:val="left"/>
            </w:pPr>
          </w:p>
        </w:tc>
        <w:tc>
          <w:tcPr>
            <w:tcW w:w="1007" w:type="dxa"/>
            <w:vAlign w:val="center"/>
          </w:tcPr>
          <w:p w14:paraId="728FA2A0">
            <w:pPr>
              <w:jc w:val="left"/>
            </w:pPr>
          </w:p>
        </w:tc>
        <w:tc>
          <w:tcPr>
            <w:tcW w:w="2811" w:type="dxa"/>
            <w:vAlign w:val="center"/>
          </w:tcPr>
          <w:p w14:paraId="29253688">
            <w:pPr>
              <w:jc w:val="left"/>
            </w:pPr>
          </w:p>
        </w:tc>
        <w:tc>
          <w:tcPr>
            <w:tcW w:w="1257" w:type="dxa"/>
            <w:vAlign w:val="center"/>
          </w:tcPr>
          <w:p w14:paraId="4BEA31C7"/>
        </w:tc>
        <w:tc>
          <w:tcPr>
            <w:tcW w:w="1269" w:type="dxa"/>
            <w:vAlign w:val="center"/>
          </w:tcPr>
          <w:p w14:paraId="3F38EE99"/>
        </w:tc>
        <w:tc>
          <w:tcPr>
            <w:tcW w:w="1553" w:type="dxa"/>
            <w:vAlign w:val="center"/>
          </w:tcPr>
          <w:p w14:paraId="08CF547F">
            <w:pPr>
              <w:jc w:val="left"/>
            </w:pPr>
          </w:p>
        </w:tc>
      </w:tr>
      <w:tr w14:paraId="6581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Align w:val="center"/>
          </w:tcPr>
          <w:p w14:paraId="49A949E1">
            <w:pPr>
              <w:jc w:val="left"/>
            </w:pPr>
          </w:p>
        </w:tc>
        <w:tc>
          <w:tcPr>
            <w:tcW w:w="1007" w:type="dxa"/>
            <w:vAlign w:val="center"/>
          </w:tcPr>
          <w:p w14:paraId="4A13E318">
            <w:pPr>
              <w:jc w:val="left"/>
            </w:pPr>
          </w:p>
        </w:tc>
        <w:tc>
          <w:tcPr>
            <w:tcW w:w="2811" w:type="dxa"/>
            <w:vAlign w:val="center"/>
          </w:tcPr>
          <w:p w14:paraId="5C7E851A">
            <w:pPr>
              <w:jc w:val="left"/>
            </w:pPr>
          </w:p>
        </w:tc>
        <w:tc>
          <w:tcPr>
            <w:tcW w:w="1257" w:type="dxa"/>
            <w:vAlign w:val="center"/>
          </w:tcPr>
          <w:p w14:paraId="4EFABD8D"/>
        </w:tc>
        <w:tc>
          <w:tcPr>
            <w:tcW w:w="1269" w:type="dxa"/>
            <w:vAlign w:val="center"/>
          </w:tcPr>
          <w:p w14:paraId="15A167F0"/>
        </w:tc>
        <w:tc>
          <w:tcPr>
            <w:tcW w:w="1553" w:type="dxa"/>
            <w:vAlign w:val="center"/>
          </w:tcPr>
          <w:p w14:paraId="18434FA6">
            <w:pPr>
              <w:jc w:val="left"/>
            </w:pPr>
          </w:p>
        </w:tc>
      </w:tr>
      <w:tr w14:paraId="419C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Align w:val="center"/>
          </w:tcPr>
          <w:p w14:paraId="10874C90">
            <w:pPr>
              <w:jc w:val="left"/>
            </w:pPr>
          </w:p>
        </w:tc>
        <w:tc>
          <w:tcPr>
            <w:tcW w:w="1007" w:type="dxa"/>
            <w:vAlign w:val="center"/>
          </w:tcPr>
          <w:p w14:paraId="024AAA08">
            <w:pPr>
              <w:jc w:val="left"/>
            </w:pPr>
          </w:p>
        </w:tc>
        <w:tc>
          <w:tcPr>
            <w:tcW w:w="2811" w:type="dxa"/>
            <w:vAlign w:val="center"/>
          </w:tcPr>
          <w:p w14:paraId="32C100ED">
            <w:pPr>
              <w:jc w:val="left"/>
            </w:pPr>
          </w:p>
        </w:tc>
        <w:tc>
          <w:tcPr>
            <w:tcW w:w="1257" w:type="dxa"/>
            <w:vAlign w:val="center"/>
          </w:tcPr>
          <w:p w14:paraId="64B91E03"/>
        </w:tc>
        <w:tc>
          <w:tcPr>
            <w:tcW w:w="1269" w:type="dxa"/>
            <w:vAlign w:val="center"/>
          </w:tcPr>
          <w:p w14:paraId="618B8DA3"/>
        </w:tc>
        <w:tc>
          <w:tcPr>
            <w:tcW w:w="1553" w:type="dxa"/>
            <w:vAlign w:val="center"/>
          </w:tcPr>
          <w:p w14:paraId="03E30994">
            <w:pPr>
              <w:jc w:val="left"/>
            </w:pPr>
          </w:p>
        </w:tc>
      </w:tr>
      <w:tr w14:paraId="7CC7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Align w:val="center"/>
          </w:tcPr>
          <w:p w14:paraId="3046B4D3">
            <w:pPr>
              <w:jc w:val="left"/>
            </w:pPr>
          </w:p>
        </w:tc>
        <w:tc>
          <w:tcPr>
            <w:tcW w:w="1007" w:type="dxa"/>
            <w:vAlign w:val="center"/>
          </w:tcPr>
          <w:p w14:paraId="55F48BC4">
            <w:pPr>
              <w:jc w:val="left"/>
            </w:pPr>
          </w:p>
        </w:tc>
        <w:tc>
          <w:tcPr>
            <w:tcW w:w="2811" w:type="dxa"/>
            <w:vAlign w:val="center"/>
          </w:tcPr>
          <w:p w14:paraId="6D4EF881">
            <w:pPr>
              <w:jc w:val="left"/>
            </w:pPr>
          </w:p>
        </w:tc>
        <w:tc>
          <w:tcPr>
            <w:tcW w:w="1257" w:type="dxa"/>
            <w:vAlign w:val="center"/>
          </w:tcPr>
          <w:p w14:paraId="4D0F701A"/>
        </w:tc>
        <w:tc>
          <w:tcPr>
            <w:tcW w:w="1269" w:type="dxa"/>
            <w:vAlign w:val="center"/>
          </w:tcPr>
          <w:p w14:paraId="6FE86C11"/>
        </w:tc>
        <w:tc>
          <w:tcPr>
            <w:tcW w:w="1553" w:type="dxa"/>
            <w:vAlign w:val="center"/>
          </w:tcPr>
          <w:p w14:paraId="2E2FD9B1">
            <w:pPr>
              <w:jc w:val="left"/>
            </w:pPr>
          </w:p>
        </w:tc>
      </w:tr>
      <w:tr w14:paraId="046C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Align w:val="center"/>
          </w:tcPr>
          <w:p w14:paraId="1C6C5BD9">
            <w:pPr>
              <w:jc w:val="left"/>
            </w:pPr>
          </w:p>
        </w:tc>
        <w:tc>
          <w:tcPr>
            <w:tcW w:w="1007" w:type="dxa"/>
            <w:vAlign w:val="center"/>
          </w:tcPr>
          <w:p w14:paraId="1A8C1B73">
            <w:pPr>
              <w:jc w:val="left"/>
            </w:pPr>
          </w:p>
        </w:tc>
        <w:tc>
          <w:tcPr>
            <w:tcW w:w="2811" w:type="dxa"/>
            <w:vAlign w:val="center"/>
          </w:tcPr>
          <w:p w14:paraId="25289AFC">
            <w:pPr>
              <w:jc w:val="left"/>
            </w:pPr>
          </w:p>
        </w:tc>
        <w:tc>
          <w:tcPr>
            <w:tcW w:w="1257" w:type="dxa"/>
            <w:vAlign w:val="center"/>
          </w:tcPr>
          <w:p w14:paraId="2CC1CF15"/>
        </w:tc>
        <w:tc>
          <w:tcPr>
            <w:tcW w:w="1269" w:type="dxa"/>
            <w:vAlign w:val="center"/>
          </w:tcPr>
          <w:p w14:paraId="2D280BCA"/>
        </w:tc>
        <w:tc>
          <w:tcPr>
            <w:tcW w:w="1553" w:type="dxa"/>
            <w:vAlign w:val="center"/>
          </w:tcPr>
          <w:p w14:paraId="5AF3B92D">
            <w:pPr>
              <w:jc w:val="left"/>
            </w:pPr>
          </w:p>
        </w:tc>
      </w:tr>
      <w:tr w14:paraId="352A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Align w:val="center"/>
          </w:tcPr>
          <w:p w14:paraId="50A1643E">
            <w:pPr>
              <w:jc w:val="left"/>
            </w:pPr>
          </w:p>
        </w:tc>
        <w:tc>
          <w:tcPr>
            <w:tcW w:w="1007" w:type="dxa"/>
            <w:vAlign w:val="center"/>
          </w:tcPr>
          <w:p w14:paraId="592E68B7">
            <w:pPr>
              <w:jc w:val="left"/>
            </w:pPr>
          </w:p>
        </w:tc>
        <w:tc>
          <w:tcPr>
            <w:tcW w:w="2811" w:type="dxa"/>
            <w:vAlign w:val="center"/>
          </w:tcPr>
          <w:p w14:paraId="4D8A5841">
            <w:pPr>
              <w:jc w:val="left"/>
            </w:pPr>
          </w:p>
        </w:tc>
        <w:tc>
          <w:tcPr>
            <w:tcW w:w="1257" w:type="dxa"/>
            <w:vAlign w:val="center"/>
          </w:tcPr>
          <w:p w14:paraId="40483C01"/>
        </w:tc>
        <w:tc>
          <w:tcPr>
            <w:tcW w:w="1269" w:type="dxa"/>
            <w:vAlign w:val="center"/>
          </w:tcPr>
          <w:p w14:paraId="406B8C53"/>
        </w:tc>
        <w:tc>
          <w:tcPr>
            <w:tcW w:w="1553" w:type="dxa"/>
            <w:vAlign w:val="center"/>
          </w:tcPr>
          <w:p w14:paraId="3E5067D0">
            <w:pPr>
              <w:jc w:val="left"/>
            </w:pPr>
          </w:p>
        </w:tc>
      </w:tr>
      <w:tr w14:paraId="2E8C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Align w:val="center"/>
          </w:tcPr>
          <w:p w14:paraId="73047F8F">
            <w:pPr>
              <w:jc w:val="left"/>
            </w:pPr>
          </w:p>
        </w:tc>
        <w:tc>
          <w:tcPr>
            <w:tcW w:w="1007" w:type="dxa"/>
            <w:vAlign w:val="center"/>
          </w:tcPr>
          <w:p w14:paraId="0C1398CF">
            <w:pPr>
              <w:jc w:val="left"/>
            </w:pPr>
          </w:p>
        </w:tc>
        <w:tc>
          <w:tcPr>
            <w:tcW w:w="2811" w:type="dxa"/>
            <w:vAlign w:val="center"/>
          </w:tcPr>
          <w:p w14:paraId="3DCFCA73">
            <w:pPr>
              <w:jc w:val="left"/>
            </w:pPr>
          </w:p>
        </w:tc>
        <w:tc>
          <w:tcPr>
            <w:tcW w:w="1257" w:type="dxa"/>
            <w:vAlign w:val="center"/>
          </w:tcPr>
          <w:p w14:paraId="25DEC0B8"/>
        </w:tc>
        <w:tc>
          <w:tcPr>
            <w:tcW w:w="1269" w:type="dxa"/>
            <w:vAlign w:val="center"/>
          </w:tcPr>
          <w:p w14:paraId="7EAE4EDA"/>
        </w:tc>
        <w:tc>
          <w:tcPr>
            <w:tcW w:w="1553" w:type="dxa"/>
            <w:vAlign w:val="center"/>
          </w:tcPr>
          <w:p w14:paraId="5CB25A7A">
            <w:pPr>
              <w:jc w:val="left"/>
            </w:pPr>
          </w:p>
        </w:tc>
      </w:tr>
      <w:tr w14:paraId="4952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Align w:val="center"/>
          </w:tcPr>
          <w:p w14:paraId="27746B74">
            <w:pPr>
              <w:jc w:val="left"/>
              <w:rPr>
                <w:rFonts w:hint="default" w:eastAsia="宋体"/>
                <w:lang w:val="en-US" w:eastAsia="zh-CN"/>
              </w:rPr>
            </w:pPr>
          </w:p>
        </w:tc>
        <w:tc>
          <w:tcPr>
            <w:tcW w:w="1007" w:type="dxa"/>
            <w:vAlign w:val="center"/>
          </w:tcPr>
          <w:p w14:paraId="492C383C">
            <w:pPr>
              <w:jc w:val="left"/>
            </w:pPr>
          </w:p>
        </w:tc>
        <w:tc>
          <w:tcPr>
            <w:tcW w:w="2811" w:type="dxa"/>
            <w:vAlign w:val="center"/>
          </w:tcPr>
          <w:p w14:paraId="2F6AA9BB">
            <w:pPr>
              <w:jc w:val="left"/>
            </w:pPr>
          </w:p>
        </w:tc>
        <w:tc>
          <w:tcPr>
            <w:tcW w:w="1257" w:type="dxa"/>
            <w:vAlign w:val="center"/>
          </w:tcPr>
          <w:p w14:paraId="786AB05F"/>
        </w:tc>
        <w:tc>
          <w:tcPr>
            <w:tcW w:w="1269" w:type="dxa"/>
            <w:vAlign w:val="center"/>
          </w:tcPr>
          <w:p w14:paraId="34DC26CF"/>
        </w:tc>
        <w:tc>
          <w:tcPr>
            <w:tcW w:w="1553" w:type="dxa"/>
            <w:vAlign w:val="center"/>
          </w:tcPr>
          <w:p w14:paraId="7EEB5772">
            <w:pPr>
              <w:jc w:val="left"/>
            </w:pPr>
          </w:p>
        </w:tc>
      </w:tr>
      <w:tr w14:paraId="0D23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06" w:type="dxa"/>
            <w:gridSpan w:val="6"/>
            <w:vAlign w:val="center"/>
          </w:tcPr>
          <w:p w14:paraId="726128F9">
            <w:pPr>
              <w:jc w:val="center"/>
            </w:pPr>
            <w:r>
              <w:rPr>
                <w:rFonts w:hint="eastAsia"/>
                <w:b/>
                <w:bCs/>
              </w:rPr>
              <w:t>编制情况</w:t>
            </w:r>
          </w:p>
        </w:tc>
      </w:tr>
      <w:tr w14:paraId="571D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06" w:type="dxa"/>
            <w:gridSpan w:val="6"/>
            <w:vAlign w:val="center"/>
          </w:tcPr>
          <w:p w14:paraId="1E985BD0">
            <w:r>
              <w:rPr>
                <w:rFonts w:hint="eastAsia"/>
              </w:rPr>
              <w:t>1、编制情况简介</w:t>
            </w:r>
          </w:p>
        </w:tc>
      </w:tr>
      <w:tr w14:paraId="6D90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8606" w:type="dxa"/>
            <w:gridSpan w:val="6"/>
          </w:tcPr>
          <w:p w14:paraId="43751C6E">
            <w:pPr>
              <w:spacing w:line="360" w:lineRule="auto"/>
              <w:ind w:firstLine="0" w:firstLineChars="0"/>
              <w:rPr>
                <w:rFonts w:hint="eastAsia" w:ascii="Calibri" w:hAnsi="Calibri" w:eastAsia="宋体" w:cs="Times New Roman"/>
                <w:b w:val="0"/>
                <w:bCs w:val="0"/>
                <w:kern w:val="2"/>
                <w:sz w:val="21"/>
                <w:szCs w:val="24"/>
                <w:highlight w:val="none"/>
                <w:lang w:val="en-US" w:eastAsia="zh-CN" w:bidi="ar-SA"/>
              </w:rPr>
            </w:pPr>
            <w:r>
              <w:rPr>
                <w:rFonts w:hint="eastAsia" w:cs="Times New Roman"/>
                <w:b w:val="0"/>
                <w:bCs w:val="0"/>
                <w:kern w:val="2"/>
                <w:sz w:val="21"/>
                <w:szCs w:val="24"/>
                <w:highlight w:val="none"/>
                <w:lang w:val="en-US" w:eastAsia="zh-CN" w:bidi="ar-SA"/>
              </w:rPr>
              <w:t>一、</w:t>
            </w:r>
            <w:r>
              <w:rPr>
                <w:rFonts w:hint="eastAsia" w:ascii="Calibri" w:hAnsi="Calibri" w:eastAsia="宋体" w:cs="Times New Roman"/>
                <w:b w:val="0"/>
                <w:bCs w:val="0"/>
                <w:kern w:val="2"/>
                <w:sz w:val="21"/>
                <w:szCs w:val="24"/>
                <w:highlight w:val="none"/>
                <w:lang w:val="en-US" w:eastAsia="zh-CN" w:bidi="ar-SA"/>
              </w:rPr>
              <w:t>成立起草小组</w:t>
            </w:r>
          </w:p>
          <w:p w14:paraId="4C5A59FE">
            <w:pPr>
              <w:spacing w:line="360" w:lineRule="auto"/>
              <w:ind w:firstLine="420" w:firstLineChars="200"/>
              <w:rPr>
                <w:rFonts w:hint="eastAsia" w:ascii="Calibri" w:hAnsi="Calibri" w:eastAsia="宋体" w:cs="Times New Roman"/>
                <w:b w:val="0"/>
                <w:bCs w:val="0"/>
                <w:kern w:val="2"/>
                <w:sz w:val="21"/>
                <w:szCs w:val="24"/>
                <w:highlight w:val="none"/>
                <w:lang w:val="en-US" w:eastAsia="zh-CN" w:bidi="ar-SA"/>
              </w:rPr>
            </w:pPr>
            <w:r>
              <w:rPr>
                <w:rFonts w:hint="eastAsia" w:ascii="Calibri" w:hAnsi="Calibri" w:eastAsia="宋体" w:cs="Times New Roman"/>
                <w:b w:val="0"/>
                <w:bCs w:val="0"/>
                <w:kern w:val="2"/>
                <w:sz w:val="21"/>
                <w:szCs w:val="24"/>
                <w:highlight w:val="none"/>
                <w:lang w:val="en-US" w:eastAsia="zh-CN" w:bidi="ar-SA"/>
              </w:rPr>
              <w:t>2024年3月20日，黄山市市场监督管理局关于下达 2024年度黄山市地方标准制修订计划的通知，徽州区西溪南镇坑上村经济合作社与中量大黄山高质量发展研究院有限公司签订技术服务合同，共同研制</w:t>
            </w:r>
            <w:r>
              <w:rPr>
                <w:rFonts w:hint="eastAsia" w:cs="Times New Roman"/>
                <w:b w:val="0"/>
                <w:bCs w:val="0"/>
                <w:kern w:val="2"/>
                <w:sz w:val="21"/>
                <w:szCs w:val="24"/>
                <w:highlight w:val="none"/>
                <w:lang w:val="en-US" w:eastAsia="zh-CN" w:bidi="ar-SA"/>
              </w:rPr>
              <w:t>《</w:t>
            </w:r>
            <w:r>
              <w:rPr>
                <w:rFonts w:hint="eastAsia" w:ascii="Calibri" w:hAnsi="Calibri" w:eastAsia="宋体" w:cs="Times New Roman"/>
                <w:b w:val="0"/>
                <w:bCs w:val="0"/>
                <w:kern w:val="2"/>
                <w:sz w:val="21"/>
                <w:szCs w:val="24"/>
                <w:highlight w:val="none"/>
                <w:lang w:val="en-US" w:eastAsia="zh-CN" w:bidi="ar-SA"/>
              </w:rPr>
              <w:t>坑上栖茶生态种植技术规程</w:t>
            </w:r>
            <w:r>
              <w:rPr>
                <w:rFonts w:hint="eastAsia" w:cs="Times New Roman"/>
                <w:b w:val="0"/>
                <w:bCs w:val="0"/>
                <w:kern w:val="2"/>
                <w:sz w:val="21"/>
                <w:szCs w:val="24"/>
                <w:highlight w:val="none"/>
                <w:lang w:val="en-US" w:eastAsia="zh-CN" w:bidi="ar-SA"/>
              </w:rPr>
              <w:t>》</w:t>
            </w:r>
            <w:r>
              <w:rPr>
                <w:rFonts w:hint="eastAsia" w:ascii="Calibri" w:hAnsi="Calibri" w:eastAsia="宋体" w:cs="Times New Roman"/>
                <w:b w:val="0"/>
                <w:bCs w:val="0"/>
                <w:kern w:val="2"/>
                <w:sz w:val="21"/>
                <w:szCs w:val="24"/>
                <w:highlight w:val="none"/>
                <w:lang w:val="en-US" w:eastAsia="zh-CN" w:bidi="ar-SA"/>
              </w:rPr>
              <w:t>黄山市地方标准。为保证标准编制工作的顺利进行，成立徽州区西溪南镇坑上村经济合作社、西溪南镇人民政府、黄山市徽州区市场监督管理局、黄山市徽州区农业农村局、中量大黄山高质量发展研究院</w:t>
            </w:r>
            <w:r>
              <w:rPr>
                <w:rFonts w:hint="eastAsia" w:cs="Times New Roman"/>
                <w:b w:val="0"/>
                <w:bCs w:val="0"/>
                <w:kern w:val="2"/>
                <w:sz w:val="21"/>
                <w:szCs w:val="24"/>
                <w:highlight w:val="none"/>
                <w:lang w:val="en-US" w:eastAsia="zh-CN" w:bidi="ar-SA"/>
              </w:rPr>
              <w:t>、中国计量大学</w:t>
            </w:r>
            <w:r>
              <w:rPr>
                <w:rFonts w:hint="eastAsia" w:ascii="Calibri" w:hAnsi="Calibri" w:eastAsia="宋体" w:cs="Times New Roman"/>
                <w:b w:val="0"/>
                <w:bCs w:val="0"/>
                <w:kern w:val="2"/>
                <w:sz w:val="21"/>
                <w:szCs w:val="24"/>
                <w:highlight w:val="none"/>
                <w:lang w:val="en-US" w:eastAsia="zh-CN" w:bidi="ar-SA"/>
              </w:rPr>
              <w:t>等单位组成标准编制起草小组，明确起草组人员和相关职责。</w:t>
            </w:r>
            <w:r>
              <w:rPr>
                <w:rFonts w:hint="eastAsia" w:cs="Times New Roman"/>
                <w:b w:val="0"/>
                <w:bCs w:val="0"/>
                <w:kern w:val="2"/>
                <w:sz w:val="21"/>
                <w:szCs w:val="24"/>
                <w:highlight w:val="none"/>
                <w:lang w:val="en-US" w:eastAsia="zh-CN" w:bidi="ar-SA"/>
              </w:rPr>
              <w:t>讨论了</w:t>
            </w:r>
            <w:r>
              <w:rPr>
                <w:rFonts w:hint="eastAsia"/>
                <w:highlight w:val="none"/>
              </w:rPr>
              <w:t>标准制定的总体思路、确定标准制定计划，明确标准起草的目的、意义及基本框架</w:t>
            </w:r>
          </w:p>
          <w:p w14:paraId="13C3A5EF">
            <w:pPr>
              <w:spacing w:line="360" w:lineRule="auto"/>
              <w:ind w:firstLine="0" w:firstLineChars="0"/>
              <w:rPr>
                <w:rFonts w:hint="eastAsia" w:ascii="Calibri" w:hAnsi="Calibri" w:eastAsia="宋体" w:cs="Times New Roman"/>
                <w:b w:val="0"/>
                <w:bCs w:val="0"/>
                <w:kern w:val="2"/>
                <w:sz w:val="21"/>
                <w:szCs w:val="24"/>
                <w:highlight w:val="none"/>
                <w:lang w:val="en-US" w:eastAsia="zh-CN" w:bidi="ar-SA"/>
              </w:rPr>
            </w:pPr>
            <w:r>
              <w:rPr>
                <w:rFonts w:hint="eastAsia" w:cs="Times New Roman"/>
                <w:b w:val="0"/>
                <w:bCs w:val="0"/>
                <w:kern w:val="2"/>
                <w:sz w:val="21"/>
                <w:szCs w:val="24"/>
                <w:highlight w:val="none"/>
                <w:lang w:val="en-US" w:eastAsia="zh-CN" w:bidi="ar-SA"/>
              </w:rPr>
              <w:t>二、</w:t>
            </w:r>
            <w:r>
              <w:rPr>
                <w:rFonts w:hint="eastAsia" w:ascii="Calibri" w:hAnsi="Calibri" w:eastAsia="宋体" w:cs="Times New Roman"/>
                <w:b w:val="0"/>
                <w:bCs w:val="0"/>
                <w:kern w:val="2"/>
                <w:sz w:val="21"/>
                <w:szCs w:val="24"/>
                <w:highlight w:val="none"/>
                <w:lang w:val="en-US" w:eastAsia="zh-CN" w:bidi="ar-SA"/>
              </w:rPr>
              <w:t>标准起草过程</w:t>
            </w:r>
          </w:p>
          <w:p w14:paraId="780927CE">
            <w:pPr>
              <w:spacing w:line="360" w:lineRule="auto"/>
              <w:ind w:firstLine="420" w:firstLineChars="200"/>
              <w:rPr>
                <w:rFonts w:hint="eastAsia" w:cs="Times New Roman"/>
                <w:b w:val="0"/>
                <w:bCs w:val="0"/>
                <w:kern w:val="2"/>
                <w:sz w:val="21"/>
                <w:szCs w:val="24"/>
                <w:highlight w:val="none"/>
                <w:lang w:val="en-US" w:eastAsia="zh-CN" w:bidi="ar-SA"/>
              </w:rPr>
            </w:pPr>
            <w:r>
              <w:rPr>
                <w:rFonts w:hint="eastAsia" w:ascii="Calibri" w:hAnsi="Calibri" w:eastAsia="宋体" w:cs="Times New Roman"/>
                <w:b w:val="0"/>
                <w:bCs w:val="0"/>
                <w:kern w:val="2"/>
                <w:sz w:val="21"/>
                <w:szCs w:val="24"/>
                <w:highlight w:val="none"/>
                <w:lang w:val="en-US" w:eastAsia="zh-CN" w:bidi="ar-SA"/>
              </w:rPr>
              <w:t>202</w:t>
            </w:r>
            <w:r>
              <w:rPr>
                <w:rFonts w:hint="eastAsia" w:cs="Times New Roman"/>
                <w:b w:val="0"/>
                <w:bCs w:val="0"/>
                <w:kern w:val="2"/>
                <w:sz w:val="21"/>
                <w:szCs w:val="24"/>
                <w:highlight w:val="none"/>
                <w:lang w:val="en-US" w:eastAsia="zh-CN" w:bidi="ar-SA"/>
              </w:rPr>
              <w:t>4</w:t>
            </w:r>
            <w:r>
              <w:rPr>
                <w:rFonts w:hint="eastAsia" w:ascii="Calibri" w:hAnsi="Calibri" w:eastAsia="宋体" w:cs="Times New Roman"/>
                <w:b w:val="0"/>
                <w:bCs w:val="0"/>
                <w:kern w:val="2"/>
                <w:sz w:val="21"/>
                <w:szCs w:val="24"/>
                <w:highlight w:val="none"/>
                <w:lang w:val="en-US" w:eastAsia="zh-CN" w:bidi="ar-SA"/>
              </w:rPr>
              <w:t>年</w:t>
            </w:r>
            <w:r>
              <w:rPr>
                <w:rFonts w:hint="eastAsia" w:cs="Times New Roman"/>
                <w:b w:val="0"/>
                <w:bCs w:val="0"/>
                <w:kern w:val="2"/>
                <w:sz w:val="21"/>
                <w:szCs w:val="24"/>
                <w:highlight w:val="none"/>
                <w:lang w:val="en-US" w:eastAsia="zh-CN" w:bidi="ar-SA"/>
              </w:rPr>
              <w:t>2</w:t>
            </w:r>
            <w:r>
              <w:rPr>
                <w:rFonts w:hint="eastAsia" w:ascii="Calibri" w:hAnsi="Calibri" w:eastAsia="宋体" w:cs="Times New Roman"/>
                <w:b w:val="0"/>
                <w:bCs w:val="0"/>
                <w:kern w:val="2"/>
                <w:sz w:val="21"/>
                <w:szCs w:val="24"/>
                <w:highlight w:val="none"/>
                <w:lang w:val="en-US" w:eastAsia="zh-CN" w:bidi="ar-SA"/>
              </w:rPr>
              <w:t>月至2024年</w:t>
            </w:r>
            <w:r>
              <w:rPr>
                <w:rFonts w:hint="eastAsia" w:cs="Times New Roman"/>
                <w:b w:val="0"/>
                <w:bCs w:val="0"/>
                <w:kern w:val="2"/>
                <w:sz w:val="21"/>
                <w:szCs w:val="24"/>
                <w:highlight w:val="none"/>
                <w:lang w:val="en-US" w:eastAsia="zh-CN" w:bidi="ar-SA"/>
              </w:rPr>
              <w:t>8</w:t>
            </w:r>
            <w:r>
              <w:rPr>
                <w:rFonts w:hint="eastAsia" w:ascii="Calibri" w:hAnsi="Calibri" w:eastAsia="宋体" w:cs="Times New Roman"/>
                <w:b w:val="0"/>
                <w:bCs w:val="0"/>
                <w:kern w:val="2"/>
                <w:sz w:val="21"/>
                <w:szCs w:val="24"/>
                <w:highlight w:val="none"/>
                <w:lang w:val="en-US" w:eastAsia="zh-CN" w:bidi="ar-SA"/>
              </w:rPr>
              <w:t>月，标准起草小组</w:t>
            </w:r>
            <w:r>
              <w:rPr>
                <w:rFonts w:hint="eastAsia" w:cs="Times New Roman"/>
                <w:b w:val="0"/>
                <w:bCs w:val="0"/>
                <w:kern w:val="2"/>
                <w:sz w:val="21"/>
                <w:szCs w:val="24"/>
                <w:highlight w:val="none"/>
                <w:lang w:val="en-US" w:eastAsia="zh-CN" w:bidi="ar-SA"/>
              </w:rPr>
              <w:t>全程跟踪了</w:t>
            </w:r>
            <w:r>
              <w:rPr>
                <w:rFonts w:hint="eastAsia" w:ascii="Calibri" w:hAnsi="Calibri" w:eastAsia="宋体" w:cs="Times New Roman"/>
                <w:b w:val="0"/>
                <w:bCs w:val="0"/>
                <w:kern w:val="2"/>
                <w:sz w:val="21"/>
                <w:szCs w:val="24"/>
                <w:highlight w:val="none"/>
                <w:lang w:val="en-US" w:eastAsia="zh-CN" w:bidi="ar-SA"/>
              </w:rPr>
              <w:t>徽州区西溪南镇坑上村经济合作社5G茶园</w:t>
            </w:r>
            <w:r>
              <w:rPr>
                <w:rFonts w:hint="eastAsia" w:cs="Times New Roman"/>
                <w:b w:val="0"/>
                <w:bCs w:val="0"/>
                <w:kern w:val="2"/>
                <w:sz w:val="21"/>
                <w:szCs w:val="24"/>
                <w:highlight w:val="none"/>
                <w:lang w:val="en-US" w:eastAsia="zh-CN" w:bidi="ar-SA"/>
              </w:rPr>
              <w:t>生产过程并进行了</w:t>
            </w:r>
            <w:r>
              <w:rPr>
                <w:rFonts w:hint="eastAsia" w:ascii="Calibri" w:hAnsi="Calibri" w:eastAsia="宋体" w:cs="Times New Roman"/>
                <w:b w:val="0"/>
                <w:bCs w:val="0"/>
                <w:kern w:val="2"/>
                <w:sz w:val="21"/>
                <w:szCs w:val="24"/>
                <w:highlight w:val="none"/>
                <w:lang w:val="en-US" w:eastAsia="zh-CN" w:bidi="ar-SA"/>
              </w:rPr>
              <w:t>实地调研，就</w:t>
            </w:r>
            <w:r>
              <w:rPr>
                <w:rFonts w:hint="eastAsia" w:cs="Times New Roman"/>
                <w:b w:val="0"/>
                <w:bCs w:val="0"/>
                <w:kern w:val="2"/>
                <w:sz w:val="21"/>
                <w:szCs w:val="24"/>
                <w:highlight w:val="none"/>
                <w:lang w:val="en-US" w:eastAsia="zh-CN" w:bidi="ar-SA"/>
              </w:rPr>
              <w:t>《</w:t>
            </w:r>
            <w:r>
              <w:rPr>
                <w:rFonts w:hint="eastAsia" w:ascii="Calibri" w:hAnsi="Calibri" w:eastAsia="宋体" w:cs="Times New Roman"/>
                <w:b w:val="0"/>
                <w:bCs w:val="0"/>
                <w:kern w:val="2"/>
                <w:sz w:val="21"/>
                <w:szCs w:val="24"/>
                <w:highlight w:val="none"/>
                <w:lang w:val="en-US" w:eastAsia="zh-CN" w:bidi="ar-SA"/>
              </w:rPr>
              <w:t>坑上栖茶生态种植技术规程</w:t>
            </w:r>
            <w:r>
              <w:rPr>
                <w:rFonts w:hint="eastAsia" w:cs="Times New Roman"/>
                <w:b w:val="0"/>
                <w:bCs w:val="0"/>
                <w:kern w:val="2"/>
                <w:sz w:val="21"/>
                <w:szCs w:val="24"/>
                <w:highlight w:val="none"/>
                <w:lang w:val="en-US" w:eastAsia="zh-CN" w:bidi="ar-SA"/>
              </w:rPr>
              <w:t>》</w:t>
            </w:r>
            <w:r>
              <w:rPr>
                <w:rFonts w:hint="eastAsia" w:ascii="Calibri" w:hAnsi="Calibri" w:eastAsia="宋体" w:cs="Times New Roman"/>
                <w:b w:val="0"/>
                <w:bCs w:val="0"/>
                <w:kern w:val="2"/>
                <w:sz w:val="21"/>
                <w:szCs w:val="24"/>
                <w:highlight w:val="none"/>
                <w:lang w:val="en-US" w:eastAsia="zh-CN" w:bidi="ar-SA"/>
              </w:rPr>
              <w:t>的</w:t>
            </w:r>
            <w:r>
              <w:rPr>
                <w:rFonts w:hint="eastAsia" w:ascii="Calibri" w:hAnsi="Calibri" w:eastAsia="宋体" w:cs="Times New Roman"/>
                <w:b w:val="0"/>
                <w:bCs w:val="0"/>
                <w:kern w:val="2"/>
                <w:sz w:val="21"/>
                <w:szCs w:val="24"/>
                <w:highlight w:val="none"/>
                <w:lang w:val="en-US" w:eastAsia="zh-Hans" w:bidi="ar-SA"/>
              </w:rPr>
              <w:t>茶园生态环境要求、茶树健康栽培、病虫害物理、肥料、档案记录</w:t>
            </w:r>
            <w:r>
              <w:rPr>
                <w:rFonts w:hint="eastAsia" w:ascii="Calibri" w:hAnsi="Calibri" w:eastAsia="宋体" w:cs="Times New Roman"/>
                <w:b w:val="0"/>
                <w:bCs w:val="0"/>
                <w:kern w:val="2"/>
                <w:sz w:val="21"/>
                <w:szCs w:val="24"/>
                <w:highlight w:val="none"/>
                <w:lang w:val="en-US" w:eastAsia="zh-CN" w:bidi="ar-SA"/>
              </w:rPr>
              <w:t>等内容</w:t>
            </w:r>
            <w:r>
              <w:rPr>
                <w:rFonts w:hint="eastAsia" w:cs="Times New Roman"/>
                <w:b w:val="0"/>
                <w:bCs w:val="0"/>
                <w:kern w:val="2"/>
                <w:sz w:val="21"/>
                <w:szCs w:val="24"/>
                <w:highlight w:val="none"/>
                <w:lang w:val="en-US" w:eastAsia="zh-CN" w:bidi="ar-SA"/>
              </w:rPr>
              <w:t>广泛</w:t>
            </w:r>
            <w:r>
              <w:rPr>
                <w:rFonts w:hint="eastAsia" w:ascii="Calibri" w:hAnsi="Calibri" w:eastAsia="宋体" w:cs="Times New Roman"/>
                <w:b w:val="0"/>
                <w:bCs w:val="0"/>
                <w:kern w:val="2"/>
                <w:sz w:val="21"/>
                <w:szCs w:val="24"/>
                <w:highlight w:val="none"/>
                <w:lang w:val="en-US" w:eastAsia="zh-CN" w:bidi="ar-SA"/>
              </w:rPr>
              <w:t>交流，</w:t>
            </w:r>
            <w:r>
              <w:rPr>
                <w:rFonts w:hint="eastAsia" w:cs="Times New Roman"/>
                <w:b w:val="0"/>
                <w:bCs w:val="0"/>
                <w:kern w:val="2"/>
                <w:sz w:val="21"/>
                <w:szCs w:val="24"/>
                <w:highlight w:val="none"/>
                <w:lang w:val="en-US" w:eastAsia="zh-CN" w:bidi="ar-SA"/>
              </w:rPr>
              <w:t>掌握了第一手技术资料，</w:t>
            </w:r>
            <w:r>
              <w:rPr>
                <w:rFonts w:hint="eastAsia" w:ascii="Calibri" w:hAnsi="Calibri" w:eastAsia="宋体" w:cs="Times New Roman"/>
                <w:b w:val="0"/>
                <w:bCs w:val="0"/>
                <w:kern w:val="2"/>
                <w:sz w:val="21"/>
                <w:szCs w:val="24"/>
                <w:highlight w:val="none"/>
                <w:lang w:val="en-US" w:eastAsia="zh-CN" w:bidi="ar-SA"/>
              </w:rPr>
              <w:t>并收集查阅相关资料，</w:t>
            </w:r>
            <w:r>
              <w:rPr>
                <w:rFonts w:hint="eastAsia" w:cs="Times New Roman"/>
                <w:b w:val="0"/>
                <w:bCs w:val="0"/>
                <w:kern w:val="2"/>
                <w:sz w:val="21"/>
                <w:szCs w:val="24"/>
                <w:highlight w:val="none"/>
                <w:lang w:val="en-US" w:eastAsia="zh-CN" w:bidi="ar-SA"/>
              </w:rPr>
              <w:t>着手起草标准讨论稿。</w:t>
            </w:r>
            <w:r>
              <w:rPr>
                <w:rFonts w:hint="eastAsia" w:ascii="Calibri" w:hAnsi="Calibri" w:eastAsia="宋体" w:cs="Times New Roman"/>
                <w:b w:val="0"/>
                <w:bCs w:val="0"/>
                <w:kern w:val="2"/>
                <w:sz w:val="21"/>
                <w:szCs w:val="24"/>
                <w:highlight w:val="none"/>
                <w:lang w:val="en-US" w:eastAsia="zh-CN" w:bidi="ar-SA"/>
              </w:rPr>
              <w:t>2024年10月16日在徽州区西溪南镇坑上村委会召开了起草小组工作会议。</w:t>
            </w:r>
            <w:r>
              <w:rPr>
                <w:rFonts w:hint="eastAsia" w:cs="Times New Roman"/>
                <w:b w:val="0"/>
                <w:bCs w:val="0"/>
                <w:kern w:val="2"/>
                <w:sz w:val="21"/>
                <w:szCs w:val="24"/>
                <w:highlight w:val="none"/>
                <w:lang w:val="en-US" w:eastAsia="zh-CN" w:bidi="ar-SA"/>
              </w:rPr>
              <w:t>对标准工作稿进行了讨论并提出了修改意见。</w:t>
            </w:r>
          </w:p>
          <w:p w14:paraId="15F0C6E2">
            <w:pPr>
              <w:spacing w:line="360" w:lineRule="auto"/>
              <w:ind w:firstLine="0" w:firstLineChars="0"/>
              <w:rPr>
                <w:rFonts w:hint="eastAsia"/>
                <w:highlight w:val="none"/>
              </w:rPr>
            </w:pPr>
            <w:r>
              <w:rPr>
                <w:rFonts w:hint="eastAsia"/>
                <w:highlight w:val="none"/>
              </w:rPr>
              <w:t>三、形成征求意见稿</w:t>
            </w:r>
          </w:p>
          <w:p w14:paraId="25B0D5A4">
            <w:pPr>
              <w:numPr>
                <w:ilvl w:val="-1"/>
                <w:numId w:val="0"/>
              </w:numPr>
              <w:spacing w:line="360" w:lineRule="auto"/>
              <w:ind w:firstLine="420" w:firstLineChars="200"/>
              <w:rPr>
                <w:rFonts w:hint="eastAsia" w:ascii="Calibri" w:hAnsi="Calibri" w:eastAsia="宋体" w:cs="Times New Roman"/>
                <w:b w:val="0"/>
                <w:bCs w:val="0"/>
                <w:kern w:val="2"/>
                <w:sz w:val="21"/>
                <w:szCs w:val="24"/>
                <w:highlight w:val="none"/>
                <w:lang w:val="en-US" w:eastAsia="zh-CN" w:bidi="ar-SA"/>
              </w:rPr>
            </w:pPr>
            <w:r>
              <w:rPr>
                <w:rFonts w:hint="eastAsia"/>
                <w:highlight w:val="none"/>
              </w:rPr>
              <w:t>起草组成员与有关专家对标准</w:t>
            </w:r>
            <w:r>
              <w:rPr>
                <w:rFonts w:hint="eastAsia"/>
                <w:highlight w:val="none"/>
                <w:lang w:val="en-US" w:eastAsia="zh-CN"/>
              </w:rPr>
              <w:t>作了</w:t>
            </w:r>
            <w:r>
              <w:rPr>
                <w:rFonts w:hint="eastAsia"/>
                <w:highlight w:val="none"/>
              </w:rPr>
              <w:t>进一步</w:t>
            </w:r>
            <w:r>
              <w:rPr>
                <w:rFonts w:hint="eastAsia"/>
                <w:highlight w:val="none"/>
                <w:lang w:val="en-US" w:eastAsia="zh-CN"/>
              </w:rPr>
              <w:t>的</w:t>
            </w:r>
            <w:r>
              <w:rPr>
                <w:rFonts w:hint="eastAsia"/>
                <w:highlight w:val="none"/>
              </w:rPr>
              <w:t>讨论，对标准工作组讨论稿作了进一步的完善，形成了标准征求意见稿。</w:t>
            </w:r>
          </w:p>
        </w:tc>
      </w:tr>
      <w:tr w14:paraId="2A97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606" w:type="dxa"/>
            <w:gridSpan w:val="6"/>
            <w:vAlign w:val="center"/>
          </w:tcPr>
          <w:p w14:paraId="76E19A02">
            <w:r>
              <w:rPr>
                <w:rFonts w:hint="eastAsia"/>
              </w:rPr>
              <w:t>2、制定标准的必要性和意义</w:t>
            </w:r>
          </w:p>
        </w:tc>
      </w:tr>
      <w:tr w14:paraId="6D8A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6" w:type="dxa"/>
            <w:gridSpan w:val="6"/>
          </w:tcPr>
          <w:p w14:paraId="2EF1F587">
            <w:pPr>
              <w:spacing w:line="360" w:lineRule="auto"/>
              <w:ind w:firstLine="0" w:firstLineChars="0"/>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必要性：</w:t>
            </w:r>
          </w:p>
          <w:p w14:paraId="4597E3ED">
            <w:pPr>
              <w:pStyle w:val="10"/>
              <w:shd w:val="clear" w:color="auto" w:fill="FFFFFF"/>
              <w:spacing w:before="0" w:beforeAutospacing="0" w:after="0" w:afterAutospacing="0" w:line="400" w:lineRule="exact"/>
              <w:ind w:firstLine="420" w:firstLineChars="200"/>
              <w:rPr>
                <w:rFonts w:hint="default" w:ascii="仿宋" w:hAnsi="仿宋" w:eastAsia="仿宋" w:cs="仿宋"/>
                <w:color w:val="000000"/>
                <w:kern w:val="0"/>
                <w:sz w:val="21"/>
                <w:szCs w:val="21"/>
                <w:lang w:val="en-US"/>
              </w:rPr>
            </w:pPr>
            <w:r>
              <w:rPr>
                <w:rFonts w:hint="eastAsia" w:ascii="宋体" w:hAnsi="宋体" w:eastAsia="宋体" w:cs="宋体"/>
                <w:color w:val="000000"/>
                <w:kern w:val="0"/>
                <w:sz w:val="21"/>
                <w:lang w:val="en-US" w:eastAsia="zh-CN" w:bidi="ar"/>
              </w:rPr>
              <w:t>茶产业是关乎人民美好生活的重要民生产业，对推动乡村振兴、弘扬中华优秀文化具有重要的意义。</w:t>
            </w:r>
            <w:r>
              <w:rPr>
                <w:rFonts w:hint="eastAsia" w:ascii="宋体" w:hAnsi="宋体" w:eastAsia="宋体" w:cs="宋体"/>
                <w:color w:val="000000"/>
                <w:kern w:val="0"/>
                <w:sz w:val="21"/>
                <w:lang w:val="en-US" w:eastAsia="zh-Hans" w:bidi="ar"/>
              </w:rPr>
              <w:t>2020 年 4 月，习近平总书记在陕西考察时指出，要“因 茶致富，因茶兴业”“把茶叶这个产业做好”；同年8月习近平总书记在考察安徽时强调“把生态保护好，把生态优势发挥出来，才能实现高质量发展。”2021 年 3 月，习近平总书记在武夷山考察时指出，要把茶文化、茶产业、茶科技统筹起来，今后要成为乡村振兴的支柱产业。</w:t>
            </w:r>
            <w:r>
              <w:rPr>
                <w:rFonts w:hint="eastAsia" w:ascii="宋体" w:hAnsi="宋体" w:eastAsia="宋体" w:cs="宋体"/>
                <w:color w:val="000000"/>
                <w:kern w:val="0"/>
                <w:sz w:val="21"/>
                <w:lang w:val="en-US" w:eastAsia="zh-CN" w:bidi="ar"/>
              </w:rPr>
              <w:t>随着对</w:t>
            </w:r>
            <w:r>
              <w:rPr>
                <w:rFonts w:hint="eastAsia" w:ascii="宋体" w:hAnsi="宋体" w:eastAsia="宋体" w:cs="宋体"/>
                <w:color w:val="000000"/>
                <w:kern w:val="0"/>
                <w:sz w:val="21"/>
                <w:lang w:val="en-US" w:eastAsia="zh-Hans" w:bidi="ar"/>
              </w:rPr>
              <w:t>“两山”理论</w:t>
            </w:r>
            <w:r>
              <w:rPr>
                <w:rFonts w:hint="eastAsia" w:ascii="宋体" w:hAnsi="宋体" w:eastAsia="宋体" w:cs="宋体"/>
                <w:color w:val="000000"/>
                <w:kern w:val="0"/>
                <w:sz w:val="21"/>
                <w:lang w:val="en-US" w:eastAsia="zh-CN" w:bidi="ar"/>
              </w:rPr>
              <w:t>的深入践行，生态优先、绿色发展理念已深入人心，建设绿色生态茶园，推广绿色生产加技术，生产绿色有机产品，引导绿色消费在为茶产业高质量发展的要求。</w:t>
            </w:r>
          </w:p>
          <w:p w14:paraId="36E5A116">
            <w:pPr>
              <w:spacing w:line="360" w:lineRule="auto"/>
              <w:ind w:firstLine="0" w:firstLineChars="0"/>
              <w:rPr>
                <w:rFonts w:hint="default" w:ascii="Times New Roman Regular" w:hAnsi="Times New Roman Regular" w:cs="Times New Roman Regular" w:eastAsiaTheme="minorEastAsia"/>
                <w:b w:val="0"/>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意义</w:t>
            </w:r>
            <w:r>
              <w:rPr>
                <w:rFonts w:hint="eastAsia" w:ascii="Times New Roman Regular" w:hAnsi="Times New Roman Regular" w:cs="Times New Roman Regular" w:eastAsiaTheme="minorEastAsia"/>
                <w:b w:val="0"/>
                <w:color w:val="000000" w:themeColor="text1"/>
                <w:szCs w:val="21"/>
                <w:lang w:val="en-US" w:eastAsia="zh-CN"/>
                <w14:textFill>
                  <w14:solidFill>
                    <w14:schemeClr w14:val="tx1"/>
                  </w14:solidFill>
                </w14:textFill>
              </w:rPr>
              <w:t>：</w:t>
            </w:r>
          </w:p>
          <w:p w14:paraId="5BBBF387">
            <w:pPr>
              <w:spacing w:line="360" w:lineRule="auto"/>
              <w:ind w:firstLine="420" w:firstLineChars="200"/>
              <w:rPr>
                <w:rFonts w:hint="eastAsia"/>
                <w:lang w:val="en-US" w:eastAsia="zh-CN"/>
              </w:rPr>
            </w:pPr>
            <w:r>
              <w:rPr>
                <w:rFonts w:hint="eastAsia" w:ascii="宋体" w:hAnsi="宋体" w:eastAsia="宋体" w:cs="宋体"/>
                <w:color w:val="000000"/>
                <w:kern w:val="0"/>
                <w:sz w:val="21"/>
                <w:szCs w:val="24"/>
                <w:lang w:val="en-US" w:eastAsia="zh-CN" w:bidi="ar"/>
              </w:rPr>
              <w:t>西</w:t>
            </w:r>
            <w:r>
              <w:rPr>
                <w:rFonts w:hint="eastAsia" w:ascii="宋体" w:hAnsi="宋体" w:eastAsia="宋体" w:cs="宋体"/>
                <w:color w:val="000000"/>
                <w:kern w:val="0"/>
                <w:sz w:val="21"/>
                <w:szCs w:val="24"/>
                <w:lang w:val="en-US" w:eastAsia="zh-Hans" w:bidi="ar"/>
              </w:rPr>
              <w:t>溪南镇人民政府把茶园基础设施提升作为改善农业生产条件、发展生态经济与增强农业发展后劲的一项重要民生工程来抓。2021年黄山市徽州区西溪南镇坑上</w:t>
            </w:r>
            <w:r>
              <w:rPr>
                <w:rFonts w:hint="eastAsia" w:ascii="宋体" w:hAnsi="宋体" w:eastAsia="宋体" w:cs="宋体"/>
                <w:color w:val="000000"/>
                <w:kern w:val="0"/>
                <w:sz w:val="21"/>
                <w:szCs w:val="24"/>
                <w:lang w:val="en-US" w:eastAsia="zh-CN" w:bidi="ar"/>
              </w:rPr>
              <w:t>村</w:t>
            </w:r>
            <w:r>
              <w:rPr>
                <w:rFonts w:hint="eastAsia" w:ascii="宋体" w:hAnsi="宋体" w:eastAsia="宋体" w:cs="宋体"/>
                <w:color w:val="000000"/>
                <w:kern w:val="0"/>
                <w:sz w:val="21"/>
                <w:szCs w:val="24"/>
                <w:lang w:val="en-US" w:eastAsia="zh-Hans" w:bidi="ar"/>
              </w:rPr>
              <w:t>进行了标准化生态茶园项目建设，开展梯茶园的改造工程，通过改树、改土、改园与改管，实施了绿色生态茶园建设，生产出优质的有机坑上栖茶取得良好效果，同时为总结提炼“粘虫黄板+生态农艺”防治病虫害模式，加快运用“机械除草+以草治草”防控草害，形成一整套茶园绿色</w:t>
            </w:r>
            <w:r>
              <w:rPr>
                <w:rFonts w:hint="eastAsia" w:ascii="宋体" w:hAnsi="宋体" w:eastAsia="宋体" w:cs="宋体"/>
                <w:color w:val="000000"/>
                <w:kern w:val="0"/>
                <w:sz w:val="21"/>
                <w:szCs w:val="24"/>
                <w:lang w:val="en-US" w:eastAsia="zh-CN" w:bidi="ar"/>
              </w:rPr>
              <w:t>生态</w:t>
            </w:r>
            <w:r>
              <w:rPr>
                <w:rFonts w:hint="eastAsia" w:ascii="宋体" w:hAnsi="宋体" w:eastAsia="宋体" w:cs="宋体"/>
                <w:color w:val="000000"/>
                <w:kern w:val="0"/>
                <w:sz w:val="21"/>
                <w:szCs w:val="24"/>
                <w:lang w:val="en-US" w:eastAsia="zh-Hans" w:bidi="ar"/>
              </w:rPr>
              <w:t>植保体系，杜绝化学投入品进入茶园。坑上村智慧生态茶园初显成效，在经济效益、社会效益、生态效益等各方面取得一定成绩</w:t>
            </w:r>
            <w:r>
              <w:rPr>
                <w:rFonts w:hint="eastAsia" w:ascii="宋体" w:hAnsi="宋体" w:eastAsia="宋体" w:cs="宋体"/>
                <w:color w:val="000000"/>
                <w:kern w:val="0"/>
                <w:sz w:val="21"/>
                <w:szCs w:val="24"/>
                <w:lang w:val="en-US" w:eastAsia="zh-CN" w:bidi="ar"/>
              </w:rPr>
              <w:t>，</w:t>
            </w:r>
            <w:r>
              <w:rPr>
                <w:rFonts w:hint="eastAsia" w:ascii="宋体" w:hAnsi="宋体" w:eastAsia="宋体" w:cs="宋体"/>
                <w:color w:val="000000"/>
                <w:kern w:val="0"/>
                <w:sz w:val="21"/>
                <w:szCs w:val="24"/>
                <w:lang w:val="en-US" w:eastAsia="zh-Hans" w:bidi="ar"/>
              </w:rPr>
              <w:t>为了将这一成果推广应用，生产更优质的坑上栖茶，需要建立“坑上栖茶</w:t>
            </w:r>
            <w:r>
              <w:rPr>
                <w:rFonts w:hint="eastAsia" w:ascii="宋体" w:hAnsi="宋体" w:eastAsia="宋体" w:cs="宋体"/>
                <w:color w:val="000000"/>
                <w:kern w:val="0"/>
                <w:sz w:val="21"/>
                <w:szCs w:val="24"/>
                <w:lang w:val="en-US" w:eastAsia="zh-CN" w:bidi="ar"/>
              </w:rPr>
              <w:t>生态</w:t>
            </w:r>
            <w:r>
              <w:rPr>
                <w:rFonts w:hint="eastAsia" w:ascii="宋体" w:hAnsi="宋体" w:eastAsia="宋体" w:cs="宋体"/>
                <w:color w:val="000000"/>
                <w:kern w:val="0"/>
                <w:sz w:val="21"/>
                <w:szCs w:val="24"/>
                <w:lang w:val="en-US" w:eastAsia="zh-Hans" w:bidi="ar"/>
              </w:rPr>
              <w:t>种植技术规程”标准以指导生产。</w:t>
            </w:r>
          </w:p>
        </w:tc>
      </w:tr>
      <w:tr w14:paraId="03CF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06" w:type="dxa"/>
            <w:gridSpan w:val="6"/>
            <w:vAlign w:val="center"/>
          </w:tcPr>
          <w:p w14:paraId="67CD1776">
            <w:r>
              <w:rPr>
                <w:rFonts w:hint="eastAsia"/>
              </w:rPr>
              <w:t>3、制定标准的原则和依据，与现行法律法规、标准的关系。</w:t>
            </w:r>
          </w:p>
        </w:tc>
      </w:tr>
      <w:tr w14:paraId="3FE8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6" w:type="dxa"/>
            <w:gridSpan w:val="6"/>
          </w:tcPr>
          <w:p w14:paraId="18CD7F75">
            <w:pPr>
              <w:spacing w:line="360" w:lineRule="auto"/>
              <w:ind w:firstLine="0" w:firstLineChars="0"/>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（一）制定原则</w:t>
            </w:r>
          </w:p>
          <w:p w14:paraId="290B8C91">
            <w:pPr>
              <w:spacing w:line="400" w:lineRule="exact"/>
              <w:ind w:firstLine="430" w:firstLineChars="205"/>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标准的制定遵循“统一性、通用性、规范性、普适性”的原则，在标准要求与技术指标的设置上，结合了</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“国有企业+合作社+茶农”合作模式</w:t>
            </w:r>
            <w:r>
              <w:rPr>
                <w:rFonts w:hint="eastAsia" w:asciiTheme="minorEastAsia" w:hAnsiTheme="minorEastAsia" w:eastAsiaTheme="minorEastAsia" w:cstheme="minorEastAsia"/>
                <w:color w:val="000000" w:themeColor="text1"/>
                <w:szCs w:val="21"/>
                <w14:textFill>
                  <w14:solidFill>
                    <w14:schemeClr w14:val="tx1"/>
                  </w14:solidFill>
                </w14:textFill>
              </w:rPr>
              <w:t>，又充分考虑到了市场需求以及标准的科学性、可操作性及前瞻性，使标准先进可行。通过执行本标准，将科学数据贯穿整个茶</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叶</w:t>
            </w:r>
            <w:r>
              <w:rPr>
                <w:rFonts w:hint="eastAsia" w:asciiTheme="minorEastAsia" w:hAnsiTheme="minorEastAsia" w:eastAsiaTheme="minorEastAsia" w:cstheme="minorEastAsia"/>
                <w:color w:val="000000" w:themeColor="text1"/>
                <w:szCs w:val="21"/>
                <w14:textFill>
                  <w14:solidFill>
                    <w14:schemeClr w14:val="tx1"/>
                  </w14:solidFill>
                </w14:textFill>
              </w:rPr>
              <w:t>种植全过程，进一步推动全域全品类推广覆盖。与现行法律、标准无冲突。</w:t>
            </w:r>
          </w:p>
          <w:p w14:paraId="290B8C91">
            <w:pPr>
              <w:spacing w:line="400" w:lineRule="exact"/>
              <w:ind w:firstLine="0" w:firstLineChars="0"/>
              <w:rPr>
                <w:rFonts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（二）编制依据</w:t>
            </w:r>
          </w:p>
          <w:p w14:paraId="5656C908">
            <w:pPr>
              <w:spacing w:line="360" w:lineRule="auto"/>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1.按照《GB/T 1.1-2020 标准化工作导则 第1部分：标准的结构和编写》的相关规定进行编写，在术语定义、结构版式以及单位符号等方面保持一致性。</w:t>
            </w:r>
          </w:p>
          <w:p w14:paraId="608EB1B4">
            <w:pPr>
              <w:spacing w:line="360" w:lineRule="auto"/>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本标准中的坑上栖茶</w:t>
            </w:r>
            <w:r>
              <w:rPr>
                <w:rFonts w:hint="eastAsia" w:asciiTheme="minorEastAsia" w:hAnsiTheme="minorEastAsia" w:eastAsiaTheme="minorEastAsia" w:cstheme="minorEastAsia"/>
                <w:color w:val="000000" w:themeColor="text1"/>
                <w:szCs w:val="21"/>
                <w:lang w:eastAsia="zh-Hans"/>
                <w14:textFill>
                  <w14:solidFill>
                    <w14:schemeClr w14:val="tx1"/>
                  </w14:solidFill>
                </w14:textFill>
              </w:rPr>
              <w:t>茶园生态环境、茶树健康栽培、树冠管理、耕作与控草、病虫害防治、肥料使用、采摘与档案记录</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等内容，是结合了坑上栖茶的</w:t>
            </w:r>
            <w:r>
              <w:rPr>
                <w:rFonts w:hint="eastAsia" w:asciiTheme="minorEastAsia" w:hAnsiTheme="minorEastAsia" w:eastAsiaTheme="minorEastAsia" w:cstheme="minorEastAsia"/>
                <w:color w:val="000000" w:themeColor="text1"/>
                <w:szCs w:val="21"/>
                <w:lang w:val="en-US" w:eastAsia="zh-Hans"/>
                <w14:textFill>
                  <w14:solidFill>
                    <w14:schemeClr w14:val="tx1"/>
                  </w14:solidFill>
                </w14:textFill>
              </w:rPr>
              <w:t>茶园</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标准化管理现状和发展需求进行编写。</w:t>
            </w:r>
          </w:p>
          <w:p w14:paraId="1E4C4011">
            <w:pPr>
              <w:spacing w:line="360" w:lineRule="auto"/>
              <w:ind w:firstLine="0" w:firstLineChars="0"/>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（三）与现有法律法规、相关标准的关系</w:t>
            </w:r>
          </w:p>
          <w:p w14:paraId="7232D8A7">
            <w:pPr>
              <w:spacing w:line="360" w:lineRule="auto"/>
              <w:ind w:firstLine="420" w:firstLineChars="200"/>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严格按照相关法律法规要求编制。与国家、行业、地方标准协调一致、无冲突和矛盾。</w:t>
            </w:r>
          </w:p>
          <w:p w14:paraId="7B904F3D">
            <w:pPr>
              <w:pStyle w:val="2"/>
              <w:rPr>
                <w:rFonts w:hint="eastAsia"/>
              </w:rPr>
            </w:pPr>
          </w:p>
        </w:tc>
      </w:tr>
      <w:tr w14:paraId="36FB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606" w:type="dxa"/>
            <w:gridSpan w:val="6"/>
            <w:vAlign w:val="center"/>
          </w:tcPr>
          <w:p w14:paraId="6C405223">
            <w:r>
              <w:rPr>
                <w:rFonts w:hint="eastAsia"/>
              </w:rPr>
              <w:t>4、主要条款的说明，主要技术指标、参数、试验验证的论述（详细说明）</w:t>
            </w:r>
          </w:p>
        </w:tc>
      </w:tr>
      <w:tr w14:paraId="079F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6" w:type="dxa"/>
            <w:gridSpan w:val="6"/>
          </w:tcPr>
          <w:p w14:paraId="2FCDE0AD">
            <w:pPr>
              <w:pStyle w:val="18"/>
              <w:spacing w:line="400" w:lineRule="exact"/>
              <w:ind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本标准的章节由范围、规范性引用文件、术语和定义、</w:t>
            </w:r>
            <w:r>
              <w:rPr>
                <w:rFonts w:hint="eastAsia" w:hAnsi="宋体" w:cs="宋体"/>
                <w:color w:val="000000"/>
                <w:lang w:bidi="ar"/>
              </w:rPr>
              <w:t>茶园生态环境、茶树健康栽培、树冠管理、耕作与控草、病虫害防治、肥料使用、采摘与档案记录</w:t>
            </w:r>
            <w:r>
              <w:rPr>
                <w:rFonts w:hint="eastAsia" w:asciiTheme="minorEastAsia" w:hAnsiTheme="minorEastAsia" w:eastAsiaTheme="minorEastAsia" w:cstheme="minorEastAsia"/>
                <w:color w:val="000000" w:themeColor="text1"/>
                <w:sz w:val="21"/>
                <w:szCs w:val="21"/>
                <w14:textFill>
                  <w14:solidFill>
                    <w14:schemeClr w14:val="tx1"/>
                  </w14:solidFill>
                </w14:textFill>
              </w:rPr>
              <w:t>等内容组成。其中“</w:t>
            </w:r>
            <w:r>
              <w:rPr>
                <w:rFonts w:hint="eastAsia" w:hAnsi="宋体" w:eastAsia="宋体" w:cs="宋体"/>
                <w:color w:val="000000"/>
                <w:lang w:val="en-US" w:eastAsia="zh-CN" w:bidi="ar"/>
              </w:rPr>
              <w:t>坑上栖茶的</w:t>
            </w:r>
            <w:r>
              <w:rPr>
                <w:rFonts w:hint="eastAsia" w:hAnsi="宋体" w:eastAsia="宋体" w:cs="宋体"/>
                <w:color w:val="000000"/>
                <w:lang w:eastAsia="zh-Hans" w:bidi="ar"/>
              </w:rPr>
              <w:t>茶园生态环境</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hAnsi="宋体" w:eastAsia="宋体" w:cs="宋体"/>
                <w:color w:val="000000"/>
                <w:lang w:eastAsia="zh-Hans" w:bidi="ar"/>
              </w:rPr>
              <w:t>茶树健康栽培</w:t>
            </w:r>
            <w:r>
              <w:rPr>
                <w:rFonts w:hint="eastAsia" w:hAnsi="宋体" w:cs="宋体"/>
                <w:color w:val="000000"/>
                <w:lang w:eastAsia="zh-CN" w:bidi="ar"/>
              </w:rPr>
              <w:t>、</w:t>
            </w:r>
            <w:r>
              <w:rPr>
                <w:rFonts w:hint="eastAsia" w:hAnsi="宋体" w:cs="宋体"/>
                <w:color w:val="000000"/>
                <w:lang w:bidi="ar"/>
              </w:rPr>
              <w:t>病虫害防治、肥料使用</w:t>
            </w:r>
            <w:r>
              <w:rPr>
                <w:rFonts w:hint="eastAsia" w:asciiTheme="minorEastAsia" w:hAnsiTheme="minorEastAsia" w:eastAsiaTheme="minorEastAsia" w:cstheme="minorEastAsia"/>
                <w:color w:val="000000" w:themeColor="text1"/>
                <w:sz w:val="21"/>
                <w:szCs w:val="21"/>
                <w14:textFill>
                  <w14:solidFill>
                    <w14:schemeClr w14:val="tx1"/>
                  </w14:solidFill>
                </w14:textFill>
              </w:rPr>
              <w:t>是本标准的主要技术内容。</w:t>
            </w:r>
            <w:bookmarkStart w:id="0" w:name="_Toc27717"/>
          </w:p>
          <w:p w14:paraId="2FCDE0AD">
            <w:pPr>
              <w:pStyle w:val="18"/>
              <w:spacing w:line="400" w:lineRule="exact"/>
              <w:ind w:left="0" w:leftChars="0" w:firstLine="0" w:firstLineChars="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主要技术内容：</w:t>
            </w:r>
          </w:p>
          <w:p w14:paraId="2FCDE0AD">
            <w:pPr>
              <w:pStyle w:val="18"/>
              <w:spacing w:line="400" w:lineRule="exact"/>
              <w:ind w:left="0" w:leftChars="0" w:firstLine="0" w:firstLineChars="0"/>
              <w:jc w:val="left"/>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t>茶园生态环境</w:t>
            </w:r>
          </w:p>
          <w:p w14:paraId="2FCDE0AD">
            <w:pPr>
              <w:pStyle w:val="18"/>
              <w:spacing w:line="400" w:lineRule="exact"/>
              <w:ind w:left="0" w:leftChars="0" w:firstLine="420" w:firstLineChars="200"/>
              <w:jc w:val="left"/>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t>选择生态适宜区域、无污染的地区，远离工矿区、避开污染源。距离公路主干线 200 m 以上且与其他作物地块间建有隔离带。环境质量应符合 NY/T 391 的要求</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应选择土壤肥沃、土层有效深度 80 cm 以上无硬结层或粘盘层、土壤 pH 在 4.5〜6.0 微酸性的壤质土。</w:t>
            </w:r>
          </w:p>
          <w:p w14:paraId="2FCDE0AD">
            <w:pPr>
              <w:pStyle w:val="18"/>
              <w:spacing w:line="400" w:lineRule="exact"/>
              <w:ind w:left="0" w:leftChars="0" w:firstLine="0" w:firstLineChars="0"/>
              <w:jc w:val="left"/>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t>平地和坡度 15°以下的缓坡地等高开垦；坡度 15°～25°的茶园需建立等高梯级园地。</w:t>
            </w:r>
          </w:p>
          <w:p w14:paraId="2FCDE0AD">
            <w:pPr>
              <w:pStyle w:val="18"/>
              <w:spacing w:line="400" w:lineRule="exact"/>
              <w:ind w:left="0" w:leftChars="0" w:firstLine="0" w:firstLineChars="0"/>
              <w:jc w:val="left"/>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t>排灌系统</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t>设置合理的道路系统；建立完善排水和喷灌系统，做到能蓄能排。</w:t>
            </w:r>
          </w:p>
          <w:p w14:paraId="2FCDE0AD">
            <w:pPr>
              <w:pStyle w:val="18"/>
              <w:spacing w:line="400" w:lineRule="exact"/>
              <w:ind w:left="0" w:leftChars="0" w:firstLine="0" w:firstLineChars="0"/>
              <w:jc w:val="left"/>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t>生态种植</w:t>
            </w:r>
          </w:p>
          <w:p w14:paraId="2FCDE0AD">
            <w:pPr>
              <w:pStyle w:val="18"/>
              <w:spacing w:line="400" w:lineRule="exact"/>
              <w:ind w:left="0" w:leftChars="0" w:firstLine="420" w:firstLineChars="200"/>
              <w:jc w:val="left"/>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t>建立生物栖息地，保护基因多样性、物种多样性和生态系统多样性。在茶园周边及茶园内的空地上适当栽种樱树、黄山栾树等，改善茶园内部的小环境，不少于20株/亩。种植鼠茅草,鼠茅草在每9—10月播种，有效抑制其他杂草生长。</w:t>
            </w:r>
          </w:p>
          <w:p w14:paraId="2FCDE0AD">
            <w:pPr>
              <w:pStyle w:val="18"/>
              <w:spacing w:line="400" w:lineRule="exact"/>
              <w:ind w:left="0" w:leftChars="0"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茶树健康栽培</w:t>
            </w:r>
          </w:p>
          <w:p w14:paraId="2FCDE0AD">
            <w:pPr>
              <w:pStyle w:val="18"/>
              <w:spacing w:line="400" w:lineRule="exact"/>
              <w:ind w:left="0" w:leftChars="0" w:firstLine="420" w:firstLineChars="200"/>
              <w:jc w:val="lef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选择“漕溪一号”无性系茶树良种，茶树种植规范、长势健壮。茶树定植宜 2 月中旬。采用单行条植方式种植。单行条植行距 1.5 m 左右、丛（株）距 33 cm，每穴（丛）茶苗 2 株，每亩（667 m2）苗数 4000 株～4500 株。采用深耕（槽）方法，在茶树树冠边缘垂直往下挖深40cm，宽30cm的一条沟，单株茶树可绕茶树根部挖成半圆形。每亩施有机肥约200Kg。</w:t>
            </w:r>
          </w:p>
          <w:p w14:paraId="2FCDE0AD">
            <w:pPr>
              <w:pStyle w:val="18"/>
              <w:spacing w:line="400" w:lineRule="exact"/>
              <w:ind w:left="0" w:leftChars="0"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14:textFill>
                  <w14:solidFill>
                    <w14:schemeClr w14:val="tx1"/>
                  </w14:solidFill>
                </w14:textFill>
              </w:rPr>
              <w:t>树冠管理</w:t>
            </w:r>
          </w:p>
          <w:p w14:paraId="2FCDE0AD">
            <w:pPr>
              <w:pStyle w:val="18"/>
              <w:spacing w:line="400" w:lineRule="exact"/>
              <w:ind w:left="0" w:leftChars="0" w:firstLine="420" w:firstLineChars="200"/>
              <w:jc w:val="left"/>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根据茶树的树龄、长势和修剪目的，分别采用定型修剪、轻修剪、深修剪、重修剪和台刈等方</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法。</w:t>
            </w:r>
          </w:p>
          <w:p w14:paraId="2FCDE0AD">
            <w:pPr>
              <w:pStyle w:val="18"/>
              <w:spacing w:line="400" w:lineRule="exact"/>
              <w:ind w:left="0" w:leftChars="0"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14:textFill>
                  <w14:solidFill>
                    <w14:schemeClr w14:val="tx1"/>
                  </w14:solidFill>
                </w14:textFill>
              </w:rPr>
              <w:t>耕作与控草</w:t>
            </w:r>
          </w:p>
          <w:p w14:paraId="2FCDE0AD">
            <w:pPr>
              <w:pStyle w:val="18"/>
              <w:spacing w:line="400" w:lineRule="exact"/>
              <w:ind w:left="0" w:leftChars="0"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合理采用浅耕、中耕、深耕和免耕等耕作技术，浅耕深度宜 5 cm～10 cm，中耕深度宜 10 cm～15 cm，深耕深度宜 20 cm〜30 cm。茶园控草种植鼠茅草或采用防草布覆盖抑草、机械除草或人工锄草等方法。</w:t>
            </w:r>
          </w:p>
          <w:p w14:paraId="2FCDE0AD">
            <w:pPr>
              <w:pStyle w:val="18"/>
              <w:spacing w:line="400" w:lineRule="exact"/>
              <w:ind w:left="0" w:leftChars="0"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14:textFill>
                  <w14:solidFill>
                    <w14:schemeClr w14:val="tx1"/>
                  </w14:solidFill>
                </w14:textFill>
              </w:rPr>
              <w:t>病虫害物防治</w:t>
            </w:r>
          </w:p>
          <w:p w14:paraId="2FCDE0AD">
            <w:pPr>
              <w:pStyle w:val="18"/>
              <w:spacing w:line="400" w:lineRule="exact"/>
              <w:ind w:left="0" w:leftChars="0"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防治原则</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优先采用农业措施，控制病虫草害种群。适时采用灯光、色诱、性诱、机械捕捉害虫。</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主要包括</w:t>
            </w:r>
            <w:r>
              <w:rPr>
                <w:rFonts w:hint="eastAsia" w:asciiTheme="minorEastAsia" w:hAnsiTheme="minorEastAsia" w:eastAsiaTheme="minorEastAsia" w:cstheme="minorEastAsia"/>
                <w:color w:val="000000" w:themeColor="text1"/>
                <w:sz w:val="21"/>
                <w:szCs w:val="21"/>
                <w14:textFill>
                  <w14:solidFill>
                    <w14:schemeClr w14:val="tx1"/>
                  </w14:solidFill>
                </w14:textFill>
              </w:rPr>
              <w:t xml:space="preserve">农业防治 </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物理防治</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生物防治</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p>
          <w:p w14:paraId="2FCDE0AD">
            <w:pPr>
              <w:pStyle w:val="18"/>
              <w:spacing w:line="400" w:lineRule="exact"/>
              <w:ind w:left="0" w:leftChars="0"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w:t>
            </w:r>
            <w:bookmarkStart w:id="1" w:name="_GoBack"/>
            <w:bookmarkEnd w:id="1"/>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肥料使用</w:t>
            </w:r>
          </w:p>
          <w:p w14:paraId="2FCDE0AD">
            <w:pPr>
              <w:pStyle w:val="18"/>
              <w:spacing w:line="400" w:lineRule="exact"/>
              <w:ind w:left="0" w:leftChars="0" w:firstLine="0" w:firstLineChars="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在 9 月下旬～10 月上旬，每亩施有机肥 175kg〜200斤 ；11月下旬每亩施磷矿源肥80〜100斤、钾肥 40〜50斤和硼肥2斤</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14:textFill>
                  <w14:solidFill>
                    <w14:schemeClr w14:val="tx1"/>
                  </w14:solidFill>
                </w14:textFill>
              </w:rPr>
              <w:t>茶园施肥应在树冠外缘垂直下方，施肥后及时覆土。对梯级茶园应在梯田的内侧开沟施肥。</w:t>
            </w:r>
          </w:p>
          <w:bookmarkEnd w:id="0"/>
          <w:p w14:paraId="2FCDE0AD">
            <w:pPr>
              <w:pStyle w:val="18"/>
              <w:spacing w:line="400" w:lineRule="exact"/>
              <w:jc w:val="left"/>
            </w:pPr>
          </w:p>
        </w:tc>
      </w:tr>
      <w:tr w14:paraId="3595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606" w:type="dxa"/>
            <w:gridSpan w:val="6"/>
            <w:vAlign w:val="center"/>
          </w:tcPr>
          <w:p w14:paraId="57A42BD7">
            <w:r>
              <w:rPr>
                <w:rFonts w:hint="eastAsia"/>
              </w:rPr>
              <w:t>5、标准中涉及专利，应有明确的知识产权说明</w:t>
            </w:r>
          </w:p>
        </w:tc>
      </w:tr>
      <w:tr w14:paraId="0741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6" w:type="dxa"/>
            <w:gridSpan w:val="6"/>
            <w:vAlign w:val="center"/>
          </w:tcPr>
          <w:p w14:paraId="3BF907CD">
            <w:pPr>
              <w:ind w:firstLine="420" w:firstLineChars="200"/>
            </w:pPr>
            <w:r>
              <w:rPr>
                <w:rFonts w:hint="eastAsia"/>
              </w:rPr>
              <w:t>本标准不涉及专利和知识产权方面。</w:t>
            </w:r>
          </w:p>
        </w:tc>
      </w:tr>
      <w:tr w14:paraId="0F0C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606" w:type="dxa"/>
            <w:gridSpan w:val="6"/>
            <w:vAlign w:val="center"/>
          </w:tcPr>
          <w:p w14:paraId="07D7AC44">
            <w:r>
              <w:rPr>
                <w:rFonts w:hint="eastAsia"/>
              </w:rPr>
              <w:t>6、采用国际标准或国外先进标准的，说明采标过程，以及国内外同类标准水平的对比情况</w:t>
            </w:r>
          </w:p>
        </w:tc>
      </w:tr>
      <w:tr w14:paraId="051B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6" w:type="dxa"/>
            <w:gridSpan w:val="6"/>
            <w:vAlign w:val="center"/>
          </w:tcPr>
          <w:p w14:paraId="252D9D8D">
            <w:pPr>
              <w:spacing w:line="360" w:lineRule="auto"/>
              <w:ind w:firstLine="420" w:firstLineChars="200"/>
              <w:rPr>
                <w:rFonts w:hint="eastAsia" w:eastAsia="宋体"/>
                <w:lang w:eastAsia="zh-CN"/>
              </w:rPr>
            </w:pPr>
            <w:r>
              <w:rPr>
                <w:rFonts w:hint="eastAsia" w:eastAsia="宋体"/>
              </w:rPr>
              <w:t>本标准的制定和实施符合当前国家标准和法律法规的要求，不存在冲突</w:t>
            </w:r>
            <w:r>
              <w:rPr>
                <w:rFonts w:hint="eastAsia" w:eastAsia="宋体"/>
                <w:lang w:eastAsia="zh-CN"/>
              </w:rPr>
              <w:t>。</w:t>
            </w:r>
          </w:p>
        </w:tc>
      </w:tr>
      <w:tr w14:paraId="1B2E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606" w:type="dxa"/>
            <w:gridSpan w:val="6"/>
            <w:vAlign w:val="center"/>
          </w:tcPr>
          <w:p w14:paraId="09CF2A4B">
            <w:r>
              <w:rPr>
                <w:rFonts w:hint="eastAsia"/>
              </w:rPr>
              <w:t>7、重大分歧意见的处理经过和依据</w:t>
            </w:r>
          </w:p>
        </w:tc>
      </w:tr>
      <w:tr w14:paraId="7FC8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6" w:type="dxa"/>
            <w:gridSpan w:val="6"/>
            <w:vAlign w:val="center"/>
          </w:tcPr>
          <w:p w14:paraId="7BA8BD69">
            <w:pPr>
              <w:ind w:firstLine="420" w:firstLineChars="200"/>
            </w:pPr>
            <w:r>
              <w:rPr>
                <w:rFonts w:hint="eastAsia"/>
              </w:rPr>
              <w:t>标准在编制过程中没有重大意见分歧。</w:t>
            </w:r>
          </w:p>
        </w:tc>
      </w:tr>
      <w:tr w14:paraId="72D3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606" w:type="dxa"/>
            <w:gridSpan w:val="6"/>
            <w:vAlign w:val="center"/>
          </w:tcPr>
          <w:p w14:paraId="6DCB3697">
            <w:r>
              <w:rPr>
                <w:rFonts w:hint="eastAsia"/>
              </w:rPr>
              <w:t>8、贯彻标准的要求和措施建议（包括组织措施、技术措施、过渡办法、实施日期等）</w:t>
            </w:r>
          </w:p>
        </w:tc>
      </w:tr>
      <w:tr w14:paraId="45D9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6" w:type="dxa"/>
            <w:gridSpan w:val="6"/>
            <w:vAlign w:val="center"/>
          </w:tcPr>
          <w:p w14:paraId="0074A21C">
            <w:pPr>
              <w:rPr>
                <w:rFonts w:hint="default" w:ascii="Times New Roman" w:hAnsi="Times New Roman" w:cs="Times New Roman"/>
                <w:kern w:val="0"/>
              </w:rPr>
            </w:pPr>
            <w:r>
              <w:rPr>
                <w:rFonts w:hint="eastAsia"/>
              </w:rPr>
              <w:t xml:space="preserve"> </w:t>
            </w:r>
            <w:r>
              <w:rPr>
                <w:rFonts w:hint="default" w:ascii="Times New Roman" w:hAnsi="Times New Roman" w:cs="Times New Roman"/>
              </w:rPr>
              <w:t xml:space="preserve"> </w:t>
            </w:r>
            <w:r>
              <w:rPr>
                <w:rFonts w:hint="default" w:ascii="Times New Roman" w:hAnsi="Times New Roman" w:cs="Times New Roman"/>
                <w:kern w:val="0"/>
              </w:rPr>
              <w:t>1.由标准归口单位牵头，起草单位具体实施，开展该标准的宣贯；</w:t>
            </w:r>
          </w:p>
          <w:p w14:paraId="2C83B311">
            <w:pPr>
              <w:ind w:firstLine="210" w:firstLineChars="100"/>
            </w:pPr>
            <w:r>
              <w:rPr>
                <w:rFonts w:hint="default" w:ascii="Times New Roman" w:hAnsi="Times New Roman" w:cs="Times New Roman"/>
              </w:rPr>
              <w:t>2.标准起草单位应继续开展研究，改进和完善标准的相关内容。</w:t>
            </w:r>
            <w:r>
              <w:rPr>
                <w:rFonts w:hint="default" w:ascii="Times New Roman" w:hAnsi="Times New Roman" w:cs="Times New Roman" w:eastAsiaTheme="minorEastAsia"/>
                <w:color w:val="000000"/>
                <w:szCs w:val="21"/>
              </w:rPr>
              <w:t xml:space="preserve"> </w:t>
            </w:r>
          </w:p>
        </w:tc>
      </w:tr>
      <w:tr w14:paraId="5DB2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06" w:type="dxa"/>
            <w:gridSpan w:val="6"/>
            <w:vAlign w:val="center"/>
          </w:tcPr>
          <w:p w14:paraId="19DB5CF4">
            <w:pPr>
              <w:widowControl/>
            </w:pPr>
            <w:r>
              <w:rPr>
                <w:rFonts w:hint="eastAsia" w:ascii="宋体" w:hAnsi="宋体" w:cs="宋体"/>
                <w:color w:val="000000"/>
                <w:kern w:val="0"/>
                <w:szCs w:val="21"/>
              </w:rPr>
              <w:t>9、废止现行相关标准的建议</w:t>
            </w:r>
          </w:p>
        </w:tc>
      </w:tr>
      <w:tr w14:paraId="1E42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6" w:type="dxa"/>
            <w:gridSpan w:val="6"/>
            <w:vAlign w:val="center"/>
          </w:tcPr>
          <w:p w14:paraId="31EF9784">
            <w:pPr>
              <w:ind w:firstLine="210" w:firstLineChars="100"/>
            </w:pPr>
            <w:r>
              <w:rPr>
                <w:rFonts w:hint="eastAsia"/>
              </w:rPr>
              <w:t>无。</w:t>
            </w:r>
          </w:p>
        </w:tc>
      </w:tr>
      <w:tr w14:paraId="0E0B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606" w:type="dxa"/>
            <w:gridSpan w:val="6"/>
            <w:vAlign w:val="center"/>
          </w:tcPr>
          <w:p w14:paraId="14DABB0F">
            <w:pPr>
              <w:widowControl/>
            </w:pPr>
            <w:r>
              <w:rPr>
                <w:rFonts w:hint="eastAsia" w:ascii="宋体" w:hAnsi="宋体" w:cs="宋体"/>
                <w:color w:val="000000"/>
                <w:kern w:val="0"/>
                <w:szCs w:val="21"/>
              </w:rPr>
              <w:t xml:space="preserve">10、其它应予说明的事项 </w:t>
            </w:r>
          </w:p>
        </w:tc>
      </w:tr>
      <w:tr w14:paraId="5D93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6" w:type="dxa"/>
            <w:gridSpan w:val="6"/>
          </w:tcPr>
          <w:p w14:paraId="71BD0A6E">
            <w:pPr>
              <w:ind w:firstLine="210" w:firstLineChars="100"/>
            </w:pPr>
            <w:r>
              <w:rPr>
                <w:rFonts w:hint="eastAsia"/>
              </w:rPr>
              <w:t>无。</w:t>
            </w:r>
          </w:p>
        </w:tc>
      </w:tr>
    </w:tbl>
    <w:p w14:paraId="32F43C04">
      <w:pPr>
        <w:widowControl/>
        <w:jc w:val="left"/>
      </w:pPr>
      <w:r>
        <w:rPr>
          <w:rFonts w:hint="eastAsia" w:ascii="宋体" w:hAnsi="宋体" w:cs="宋体"/>
          <w:color w:val="000000"/>
          <w:kern w:val="0"/>
          <w:sz w:val="18"/>
          <w:szCs w:val="18"/>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CBE0F80-899E-47A4-BD20-F0877D66E66C}"/>
  </w:font>
  <w:font w:name="仿宋">
    <w:panose1 w:val="02010609060101010101"/>
    <w:charset w:val="86"/>
    <w:family w:val="modern"/>
    <w:pitch w:val="default"/>
    <w:sig w:usb0="800002BF" w:usb1="38CF7CFA" w:usb2="00000016" w:usb3="00000000" w:csb0="00040001" w:csb1="00000000"/>
    <w:embedRegular r:id="rId2" w:fontKey="{1BF3D5AB-F1F5-4D5A-B22E-EE22597D38A4}"/>
  </w:font>
  <w:font w:name="方正小标宋简体">
    <w:panose1 w:val="02000000000000000000"/>
    <w:charset w:val="86"/>
    <w:family w:val="auto"/>
    <w:pitch w:val="default"/>
    <w:sig w:usb0="00000001" w:usb1="08000000" w:usb2="00000000" w:usb3="00000000" w:csb0="00040000" w:csb1="00000000"/>
    <w:embedRegular r:id="rId3" w:fontKey="{5CEF895F-7E1B-41A2-B635-028835165EB7}"/>
  </w:font>
  <w:font w:name="微软雅黑">
    <w:panose1 w:val="020B0503020204020204"/>
    <w:charset w:val="86"/>
    <w:family w:val="auto"/>
    <w:pitch w:val="default"/>
    <w:sig w:usb0="80000287" w:usb1="2ACF3C50" w:usb2="00000016" w:usb3="00000000" w:csb0="0004001F" w:csb1="00000000"/>
    <w:embedRegular r:id="rId4" w:fontKey="{C2118D27-8C8E-49E3-A4AA-B8E2B058CD46}"/>
  </w:font>
  <w:font w:name="Times New Roman Regular">
    <w:altName w:val="Times New Roman"/>
    <w:panose1 w:val="02020803070505020304"/>
    <w:charset w:val="00"/>
    <w:family w:val="auto"/>
    <w:pitch w:val="default"/>
    <w:sig w:usb0="00000000" w:usb1="00000000" w:usb2="00000009" w:usb3="00000000" w:csb0="400001FF" w:csb1="FFFF0000"/>
    <w:embedRegular r:id="rId5" w:fontKey="{06347564-9B26-44E3-89C0-9C69CB0A611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C5917C3"/>
    <w:multiLevelType w:val="multilevel"/>
    <w:tmpl w:val="2C5917C3"/>
    <w:lvl w:ilvl="0" w:tentative="0">
      <w:start w:val="1"/>
      <w:numFmt w:val="none"/>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41"/>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646260FA"/>
    <w:multiLevelType w:val="multilevel"/>
    <w:tmpl w:val="646260FA"/>
    <w:lvl w:ilvl="0" w:tentative="0">
      <w:start w:val="1"/>
      <w:numFmt w:val="decimal"/>
      <w:pStyle w:val="30"/>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CEA2025"/>
    <w:multiLevelType w:val="multilevel"/>
    <w:tmpl w:val="6CEA2025"/>
    <w:lvl w:ilvl="0" w:tentative="0">
      <w:start w:val="1"/>
      <w:numFmt w:val="none"/>
      <w:pStyle w:val="29"/>
      <w:suff w:val="nothing"/>
      <w:lvlText w:val="%1"/>
      <w:lvlJc w:val="left"/>
      <w:pPr>
        <w:ind w:left="0" w:firstLine="0"/>
      </w:pPr>
      <w:rPr>
        <w:rFonts w:hint="eastAsia"/>
      </w:rPr>
    </w:lvl>
    <w:lvl w:ilvl="1" w:tentative="0">
      <w:start w:val="1"/>
      <w:numFmt w:val="decimal"/>
      <w:pStyle w:val="39"/>
      <w:suff w:val="nothing"/>
      <w:lvlText w:val="%1%2　"/>
      <w:lvlJc w:val="left"/>
      <w:pPr>
        <w:ind w:left="0" w:firstLine="0"/>
      </w:pPr>
      <w:rPr>
        <w:rFonts w:hint="eastAsia" w:ascii="黑体" w:eastAsia="黑体"/>
        <w:b w:val="0"/>
        <w:i w:val="0"/>
        <w:sz w:val="21"/>
      </w:rPr>
    </w:lvl>
    <w:lvl w:ilvl="2" w:tentative="0">
      <w:start w:val="1"/>
      <w:numFmt w:val="decimal"/>
      <w:pStyle w:val="28"/>
      <w:suff w:val="nothing"/>
      <w:lvlText w:val="%1%2.%3　"/>
      <w:lvlJc w:val="left"/>
      <w:pPr>
        <w:ind w:left="28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tentative="0">
      <w:start w:val="1"/>
      <w:numFmt w:val="decimal"/>
      <w:pStyle w:val="23"/>
      <w:suff w:val="nothing"/>
      <w:lvlText w:val="%1%2.%3.%4　"/>
      <w:lvlJc w:val="left"/>
      <w:pPr>
        <w:ind w:left="851" w:firstLine="0"/>
      </w:pPr>
      <w:rPr>
        <w:rFonts w:hint="eastAsia" w:ascii="黑体" w:eastAsia="黑体"/>
        <w:b w:val="0"/>
        <w:i w:val="0"/>
        <w:sz w:val="21"/>
      </w:rPr>
    </w:lvl>
    <w:lvl w:ilvl="4" w:tentative="0">
      <w:start w:val="1"/>
      <w:numFmt w:val="decimal"/>
      <w:pStyle w:val="24"/>
      <w:suff w:val="nothing"/>
      <w:lvlText w:val="%1%2.%3.%4.%5　"/>
      <w:lvlJc w:val="left"/>
      <w:pPr>
        <w:ind w:left="0" w:firstLine="0"/>
      </w:pPr>
      <w:rPr>
        <w:rFonts w:hint="eastAsia" w:ascii="黑体" w:eastAsia="黑体"/>
        <w:b w:val="0"/>
        <w:i w:val="0"/>
        <w:sz w:val="21"/>
      </w:rPr>
    </w:lvl>
    <w:lvl w:ilvl="5" w:tentative="0">
      <w:start w:val="1"/>
      <w:numFmt w:val="decimal"/>
      <w:pStyle w:val="25"/>
      <w:suff w:val="nothing"/>
      <w:lvlText w:val="%1%2.%3.%4.%5.%6　"/>
      <w:lvlJc w:val="left"/>
      <w:pPr>
        <w:ind w:left="0" w:firstLine="0"/>
      </w:pPr>
      <w:rPr>
        <w:rFonts w:hint="eastAsia" w:ascii="黑体" w:eastAsia="黑体"/>
        <w:b w:val="0"/>
        <w:i w:val="0"/>
        <w:sz w:val="21"/>
      </w:rPr>
    </w:lvl>
    <w:lvl w:ilvl="6" w:tentative="0">
      <w:start w:val="1"/>
      <w:numFmt w:val="decimal"/>
      <w:pStyle w:val="2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DBF04F4"/>
    <w:multiLevelType w:val="multilevel"/>
    <w:tmpl w:val="6DBF04F4"/>
    <w:lvl w:ilvl="0" w:tentative="0">
      <w:start w:val="1"/>
      <w:numFmt w:val="none"/>
      <w:pStyle w:val="36"/>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ZTRkMmE2MThkMzJiMmU1NmI0MmM0NWRkOWUyOTEifQ=="/>
  </w:docVars>
  <w:rsids>
    <w:rsidRoot w:val="00172A27"/>
    <w:rsid w:val="000022DE"/>
    <w:rsid w:val="00012E9F"/>
    <w:rsid w:val="000850B3"/>
    <w:rsid w:val="0010308A"/>
    <w:rsid w:val="0011123B"/>
    <w:rsid w:val="0013306B"/>
    <w:rsid w:val="00147DF5"/>
    <w:rsid w:val="00147ED4"/>
    <w:rsid w:val="001C04F8"/>
    <w:rsid w:val="002153B2"/>
    <w:rsid w:val="002161F9"/>
    <w:rsid w:val="00216B2A"/>
    <w:rsid w:val="002340B1"/>
    <w:rsid w:val="002757CA"/>
    <w:rsid w:val="002771D4"/>
    <w:rsid w:val="00286895"/>
    <w:rsid w:val="002C11D4"/>
    <w:rsid w:val="002E73FD"/>
    <w:rsid w:val="00306059"/>
    <w:rsid w:val="0033708A"/>
    <w:rsid w:val="003C5624"/>
    <w:rsid w:val="00420F5B"/>
    <w:rsid w:val="004371C6"/>
    <w:rsid w:val="00446F3B"/>
    <w:rsid w:val="00462D87"/>
    <w:rsid w:val="004A3F6F"/>
    <w:rsid w:val="004C2BAE"/>
    <w:rsid w:val="004C4C1D"/>
    <w:rsid w:val="00597AB4"/>
    <w:rsid w:val="005F6745"/>
    <w:rsid w:val="00634542"/>
    <w:rsid w:val="00642A8D"/>
    <w:rsid w:val="00675AB9"/>
    <w:rsid w:val="006A4E71"/>
    <w:rsid w:val="006A5F8C"/>
    <w:rsid w:val="006B260D"/>
    <w:rsid w:val="00745F7A"/>
    <w:rsid w:val="007937E9"/>
    <w:rsid w:val="007A2C38"/>
    <w:rsid w:val="007C41B0"/>
    <w:rsid w:val="007D6A55"/>
    <w:rsid w:val="007F3722"/>
    <w:rsid w:val="00822167"/>
    <w:rsid w:val="008760FE"/>
    <w:rsid w:val="008C28CC"/>
    <w:rsid w:val="00906526"/>
    <w:rsid w:val="009245BD"/>
    <w:rsid w:val="00925AD9"/>
    <w:rsid w:val="0098632D"/>
    <w:rsid w:val="00997741"/>
    <w:rsid w:val="009B0B61"/>
    <w:rsid w:val="009C472F"/>
    <w:rsid w:val="00A46D14"/>
    <w:rsid w:val="00A61997"/>
    <w:rsid w:val="00A74BEC"/>
    <w:rsid w:val="00A77479"/>
    <w:rsid w:val="00AA42F5"/>
    <w:rsid w:val="00AF0708"/>
    <w:rsid w:val="00AF2CB7"/>
    <w:rsid w:val="00B2603B"/>
    <w:rsid w:val="00B63332"/>
    <w:rsid w:val="00B96EA7"/>
    <w:rsid w:val="00C32E9C"/>
    <w:rsid w:val="00C965A8"/>
    <w:rsid w:val="00CA74AB"/>
    <w:rsid w:val="00D20DB0"/>
    <w:rsid w:val="00D3044D"/>
    <w:rsid w:val="00D3087E"/>
    <w:rsid w:val="00D46C43"/>
    <w:rsid w:val="00DA6D1D"/>
    <w:rsid w:val="00DB2F2E"/>
    <w:rsid w:val="00DD47EB"/>
    <w:rsid w:val="00E03EF6"/>
    <w:rsid w:val="00E261B0"/>
    <w:rsid w:val="00E37388"/>
    <w:rsid w:val="00E51B5D"/>
    <w:rsid w:val="00EA4969"/>
    <w:rsid w:val="00EF3817"/>
    <w:rsid w:val="00EF434A"/>
    <w:rsid w:val="00F00B7F"/>
    <w:rsid w:val="00F60092"/>
    <w:rsid w:val="00F65CCD"/>
    <w:rsid w:val="00F811DB"/>
    <w:rsid w:val="00FD70E9"/>
    <w:rsid w:val="00FE10AE"/>
    <w:rsid w:val="016C4088"/>
    <w:rsid w:val="01A87AFF"/>
    <w:rsid w:val="01FF3BC3"/>
    <w:rsid w:val="027A41B7"/>
    <w:rsid w:val="02AE074F"/>
    <w:rsid w:val="03315E11"/>
    <w:rsid w:val="03BB7FBE"/>
    <w:rsid w:val="040B70FB"/>
    <w:rsid w:val="04507C7A"/>
    <w:rsid w:val="046C750A"/>
    <w:rsid w:val="046E7993"/>
    <w:rsid w:val="04F44E1F"/>
    <w:rsid w:val="05AD6B0F"/>
    <w:rsid w:val="06DC2FF3"/>
    <w:rsid w:val="06E67100"/>
    <w:rsid w:val="07073135"/>
    <w:rsid w:val="07635D15"/>
    <w:rsid w:val="080448A2"/>
    <w:rsid w:val="0950231A"/>
    <w:rsid w:val="09D25A3C"/>
    <w:rsid w:val="09F641CE"/>
    <w:rsid w:val="0A200B7B"/>
    <w:rsid w:val="0A353D9E"/>
    <w:rsid w:val="0A7E6A14"/>
    <w:rsid w:val="0A982E07"/>
    <w:rsid w:val="0AD21CBD"/>
    <w:rsid w:val="0C05627A"/>
    <w:rsid w:val="0CFB1362"/>
    <w:rsid w:val="0DB374DB"/>
    <w:rsid w:val="0DE95727"/>
    <w:rsid w:val="0DF12ABE"/>
    <w:rsid w:val="0E3B11CE"/>
    <w:rsid w:val="0E423C6F"/>
    <w:rsid w:val="0E446EBA"/>
    <w:rsid w:val="0E5819A8"/>
    <w:rsid w:val="0E59465B"/>
    <w:rsid w:val="0FF10BD9"/>
    <w:rsid w:val="1035627D"/>
    <w:rsid w:val="10383759"/>
    <w:rsid w:val="10645A7C"/>
    <w:rsid w:val="10C20BDE"/>
    <w:rsid w:val="11ED1C8A"/>
    <w:rsid w:val="12957C2C"/>
    <w:rsid w:val="129C545E"/>
    <w:rsid w:val="13C5028B"/>
    <w:rsid w:val="14221993"/>
    <w:rsid w:val="1498010F"/>
    <w:rsid w:val="16007FB7"/>
    <w:rsid w:val="16D52CED"/>
    <w:rsid w:val="174D2F66"/>
    <w:rsid w:val="183E0F7A"/>
    <w:rsid w:val="1A2521DD"/>
    <w:rsid w:val="1AAA5065"/>
    <w:rsid w:val="1AB970E1"/>
    <w:rsid w:val="1BA530A6"/>
    <w:rsid w:val="1C0A168B"/>
    <w:rsid w:val="1C59001C"/>
    <w:rsid w:val="1C6D7D89"/>
    <w:rsid w:val="1C7A6810"/>
    <w:rsid w:val="1D4A03BA"/>
    <w:rsid w:val="1D8B7396"/>
    <w:rsid w:val="1E220F0E"/>
    <w:rsid w:val="1E256C04"/>
    <w:rsid w:val="1F6C755F"/>
    <w:rsid w:val="1F775289"/>
    <w:rsid w:val="1F9D5212"/>
    <w:rsid w:val="1FE65F6B"/>
    <w:rsid w:val="1FF73E2D"/>
    <w:rsid w:val="20014525"/>
    <w:rsid w:val="212D0991"/>
    <w:rsid w:val="2163348C"/>
    <w:rsid w:val="22325497"/>
    <w:rsid w:val="22767B26"/>
    <w:rsid w:val="22AF6AD1"/>
    <w:rsid w:val="236D32C5"/>
    <w:rsid w:val="237617C8"/>
    <w:rsid w:val="239857CE"/>
    <w:rsid w:val="23E00ED4"/>
    <w:rsid w:val="23E427C1"/>
    <w:rsid w:val="25407ECB"/>
    <w:rsid w:val="26A12BEB"/>
    <w:rsid w:val="27287556"/>
    <w:rsid w:val="27D21829"/>
    <w:rsid w:val="2824337C"/>
    <w:rsid w:val="28E658F8"/>
    <w:rsid w:val="29090C74"/>
    <w:rsid w:val="290D31CB"/>
    <w:rsid w:val="299B6018"/>
    <w:rsid w:val="2A6B59EA"/>
    <w:rsid w:val="2AA06C63"/>
    <w:rsid w:val="2B6771C1"/>
    <w:rsid w:val="2BEB13E8"/>
    <w:rsid w:val="2C3E3859"/>
    <w:rsid w:val="2D125120"/>
    <w:rsid w:val="2D2500D2"/>
    <w:rsid w:val="2D40091D"/>
    <w:rsid w:val="2DF56760"/>
    <w:rsid w:val="2E573A78"/>
    <w:rsid w:val="2EA74B17"/>
    <w:rsid w:val="2ECC598B"/>
    <w:rsid w:val="2F3350E6"/>
    <w:rsid w:val="2F5F53F2"/>
    <w:rsid w:val="30A130DC"/>
    <w:rsid w:val="31065D45"/>
    <w:rsid w:val="31A7472C"/>
    <w:rsid w:val="31C66B0D"/>
    <w:rsid w:val="32C86C8A"/>
    <w:rsid w:val="33430AFD"/>
    <w:rsid w:val="335523BF"/>
    <w:rsid w:val="336B4F04"/>
    <w:rsid w:val="339D324E"/>
    <w:rsid w:val="33A96F5E"/>
    <w:rsid w:val="34F8658D"/>
    <w:rsid w:val="3533129B"/>
    <w:rsid w:val="364049F9"/>
    <w:rsid w:val="36964832"/>
    <w:rsid w:val="36B135E3"/>
    <w:rsid w:val="371511B8"/>
    <w:rsid w:val="37B7401D"/>
    <w:rsid w:val="3897135D"/>
    <w:rsid w:val="38EC419A"/>
    <w:rsid w:val="3A6B533B"/>
    <w:rsid w:val="3A8D5509"/>
    <w:rsid w:val="3B23427C"/>
    <w:rsid w:val="3B3F7940"/>
    <w:rsid w:val="3B8B5C2B"/>
    <w:rsid w:val="3BFF6D0C"/>
    <w:rsid w:val="3D0E0B44"/>
    <w:rsid w:val="3D2814E9"/>
    <w:rsid w:val="3D4E52C1"/>
    <w:rsid w:val="3D7B3D3F"/>
    <w:rsid w:val="3DD445E9"/>
    <w:rsid w:val="3DE15660"/>
    <w:rsid w:val="3DE44298"/>
    <w:rsid w:val="3F465067"/>
    <w:rsid w:val="3FC31100"/>
    <w:rsid w:val="3FD00372"/>
    <w:rsid w:val="40DF5AE6"/>
    <w:rsid w:val="421B2041"/>
    <w:rsid w:val="4249440B"/>
    <w:rsid w:val="42622978"/>
    <w:rsid w:val="42D00586"/>
    <w:rsid w:val="43056584"/>
    <w:rsid w:val="433E6B9F"/>
    <w:rsid w:val="43851473"/>
    <w:rsid w:val="43937113"/>
    <w:rsid w:val="466461CA"/>
    <w:rsid w:val="46780E1B"/>
    <w:rsid w:val="46841EB6"/>
    <w:rsid w:val="471E4372"/>
    <w:rsid w:val="47226FD9"/>
    <w:rsid w:val="47A143A2"/>
    <w:rsid w:val="47CF7161"/>
    <w:rsid w:val="47EE5397"/>
    <w:rsid w:val="48071DDB"/>
    <w:rsid w:val="48073C47"/>
    <w:rsid w:val="487970CD"/>
    <w:rsid w:val="496E6505"/>
    <w:rsid w:val="4A2A32C5"/>
    <w:rsid w:val="4A353721"/>
    <w:rsid w:val="4A3B7646"/>
    <w:rsid w:val="4A8F0E29"/>
    <w:rsid w:val="4AAF5F1A"/>
    <w:rsid w:val="4AC5494B"/>
    <w:rsid w:val="4C1A474F"/>
    <w:rsid w:val="4C1A51E9"/>
    <w:rsid w:val="4CD60F91"/>
    <w:rsid w:val="4DCE103A"/>
    <w:rsid w:val="4E7F7A2B"/>
    <w:rsid w:val="4EB66F0E"/>
    <w:rsid w:val="4EB83716"/>
    <w:rsid w:val="4FE04F2F"/>
    <w:rsid w:val="4FE17A31"/>
    <w:rsid w:val="52F6660A"/>
    <w:rsid w:val="53C42E3E"/>
    <w:rsid w:val="53EE3C43"/>
    <w:rsid w:val="55FE4324"/>
    <w:rsid w:val="56187F25"/>
    <w:rsid w:val="57660472"/>
    <w:rsid w:val="57BB579A"/>
    <w:rsid w:val="57D32355"/>
    <w:rsid w:val="58466FCB"/>
    <w:rsid w:val="58C67F77"/>
    <w:rsid w:val="59AD772B"/>
    <w:rsid w:val="59D414BC"/>
    <w:rsid w:val="5A4BCBC6"/>
    <w:rsid w:val="5A4D5052"/>
    <w:rsid w:val="5AA40826"/>
    <w:rsid w:val="5C6204E4"/>
    <w:rsid w:val="5C9F4EFC"/>
    <w:rsid w:val="5CAB25BA"/>
    <w:rsid w:val="5CFE59FE"/>
    <w:rsid w:val="5D4E5F83"/>
    <w:rsid w:val="5DA423BC"/>
    <w:rsid w:val="5E021BE6"/>
    <w:rsid w:val="5F390066"/>
    <w:rsid w:val="5FED4FC8"/>
    <w:rsid w:val="600A2FD4"/>
    <w:rsid w:val="608B1080"/>
    <w:rsid w:val="60B12CB7"/>
    <w:rsid w:val="60E750C3"/>
    <w:rsid w:val="619E1C26"/>
    <w:rsid w:val="6271733B"/>
    <w:rsid w:val="62817644"/>
    <w:rsid w:val="628D10EE"/>
    <w:rsid w:val="63FA3360"/>
    <w:rsid w:val="640B23D1"/>
    <w:rsid w:val="641F3A4E"/>
    <w:rsid w:val="64B33C3A"/>
    <w:rsid w:val="65A92947"/>
    <w:rsid w:val="65D96A84"/>
    <w:rsid w:val="66084C94"/>
    <w:rsid w:val="669A1275"/>
    <w:rsid w:val="67A10EC4"/>
    <w:rsid w:val="681349F0"/>
    <w:rsid w:val="68180AC9"/>
    <w:rsid w:val="688721DA"/>
    <w:rsid w:val="695A0B28"/>
    <w:rsid w:val="69D1246D"/>
    <w:rsid w:val="6A002D52"/>
    <w:rsid w:val="6A5E63F6"/>
    <w:rsid w:val="6B3E2749"/>
    <w:rsid w:val="6B8A7A4D"/>
    <w:rsid w:val="6C42770F"/>
    <w:rsid w:val="6D162FB8"/>
    <w:rsid w:val="6D1B7C09"/>
    <w:rsid w:val="6DA934D3"/>
    <w:rsid w:val="6DAE04D3"/>
    <w:rsid w:val="6E0E64AC"/>
    <w:rsid w:val="6E172210"/>
    <w:rsid w:val="6E179F9A"/>
    <w:rsid w:val="6E593469"/>
    <w:rsid w:val="6EB5235D"/>
    <w:rsid w:val="6FCB2FDC"/>
    <w:rsid w:val="71237A99"/>
    <w:rsid w:val="7139636E"/>
    <w:rsid w:val="72331306"/>
    <w:rsid w:val="725564D7"/>
    <w:rsid w:val="73027B3B"/>
    <w:rsid w:val="731E4777"/>
    <w:rsid w:val="74593BA8"/>
    <w:rsid w:val="74AD3484"/>
    <w:rsid w:val="74E27C24"/>
    <w:rsid w:val="74E4497B"/>
    <w:rsid w:val="76326989"/>
    <w:rsid w:val="76880357"/>
    <w:rsid w:val="76960CC6"/>
    <w:rsid w:val="777829C4"/>
    <w:rsid w:val="78BF7B35"/>
    <w:rsid w:val="79641244"/>
    <w:rsid w:val="79C1605A"/>
    <w:rsid w:val="7B8C2698"/>
    <w:rsid w:val="7C9042DB"/>
    <w:rsid w:val="7CA12173"/>
    <w:rsid w:val="7D4F1BCF"/>
    <w:rsid w:val="7EDE46AC"/>
    <w:rsid w:val="7F343E02"/>
    <w:rsid w:val="7F594416"/>
    <w:rsid w:val="7F977441"/>
    <w:rsid w:val="7FA44441"/>
    <w:rsid w:val="7FB156AC"/>
    <w:rsid w:val="93BB39B1"/>
    <w:rsid w:val="BFDFD6F5"/>
    <w:rsid w:val="BFF1F597"/>
    <w:rsid w:val="DFEF89FB"/>
    <w:rsid w:val="F77F65F5"/>
    <w:rsid w:val="FF7FBACC"/>
    <w:rsid w:val="FFDEB5F7"/>
    <w:rsid w:val="FFE94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仿宋" w:cs="Times New Roman"/>
      <w:sz w:val="24"/>
    </w:r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0"/>
    <w:pPr>
      <w:tabs>
        <w:tab w:val="left" w:pos="6004"/>
      </w:tabs>
      <w:snapToGrid w:val="0"/>
    </w:pPr>
    <w:rPr>
      <w:rFonts w:ascii="Arial" w:hAnsi="Arial" w:cs="Arial"/>
    </w:rPr>
  </w:style>
  <w:style w:type="paragraph" w:styleId="6">
    <w:name w:val="annotation text"/>
    <w:basedOn w:val="1"/>
    <w:link w:val="31"/>
    <w:semiHidden/>
    <w:unhideWhenUsed/>
    <w:qFormat/>
    <w:uiPriority w:val="0"/>
    <w:pPr>
      <w:jc w:val="left"/>
    </w:pPr>
  </w:style>
  <w:style w:type="paragraph" w:styleId="7">
    <w:name w:val="Balloon Text"/>
    <w:basedOn w:val="1"/>
    <w:link w:val="33"/>
    <w:qFormat/>
    <w:uiPriority w:val="0"/>
    <w:rPr>
      <w:sz w:val="18"/>
      <w:szCs w:val="18"/>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0"/>
    <w:pPr>
      <w:spacing w:beforeAutospacing="1" w:afterAutospacing="1"/>
      <w:jc w:val="left"/>
    </w:pPr>
    <w:rPr>
      <w:kern w:val="0"/>
      <w:sz w:val="24"/>
    </w:rPr>
  </w:style>
  <w:style w:type="paragraph" w:styleId="11">
    <w:name w:val="annotation subject"/>
    <w:basedOn w:val="6"/>
    <w:next w:val="6"/>
    <w:link w:val="32"/>
    <w:semiHidden/>
    <w:unhideWhenUsed/>
    <w:qFormat/>
    <w:uiPriority w:val="0"/>
    <w:rPr>
      <w:b/>
      <w:bCs/>
    </w:r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semiHidden/>
    <w:unhideWhenUsed/>
    <w:uiPriority w:val="0"/>
    <w:rPr>
      <w:color w:val="0000FF"/>
      <w:u w:val="single"/>
    </w:rPr>
  </w:style>
  <w:style w:type="character" w:styleId="17">
    <w:name w:val="annotation reference"/>
    <w:basedOn w:val="13"/>
    <w:semiHidden/>
    <w:unhideWhenUsed/>
    <w:qFormat/>
    <w:uiPriority w:val="0"/>
    <w:rPr>
      <w:sz w:val="21"/>
      <w:szCs w:val="21"/>
    </w:r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9">
    <w:name w:val="页眉 字符"/>
    <w:basedOn w:val="13"/>
    <w:link w:val="9"/>
    <w:qFormat/>
    <w:uiPriority w:val="0"/>
    <w:rPr>
      <w:rFonts w:ascii="Calibri" w:hAnsi="Calibri"/>
      <w:kern w:val="2"/>
      <w:sz w:val="18"/>
      <w:szCs w:val="18"/>
    </w:rPr>
  </w:style>
  <w:style w:type="character" w:customStyle="1" w:styleId="20">
    <w:name w:val="页脚 字符"/>
    <w:basedOn w:val="13"/>
    <w:link w:val="8"/>
    <w:qFormat/>
    <w:uiPriority w:val="0"/>
    <w:rPr>
      <w:rFonts w:ascii="Calibri" w:hAnsi="Calibri"/>
      <w:kern w:val="2"/>
      <w:sz w:val="18"/>
      <w:szCs w:val="18"/>
    </w:rPr>
  </w:style>
  <w:style w:type="paragraph" w:customStyle="1" w:styleId="21">
    <w:name w:val="标准文件_段"/>
    <w:link w:val="2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
    <w:name w:val="标准文件_段 Char"/>
    <w:link w:val="21"/>
    <w:qFormat/>
    <w:uiPriority w:val="0"/>
    <w:rPr>
      <w:rFonts w:ascii="宋体"/>
      <w:sz w:val="21"/>
    </w:rPr>
  </w:style>
  <w:style w:type="paragraph" w:customStyle="1" w:styleId="23">
    <w:name w:val="标准文件_二级条标题"/>
    <w:next w:val="21"/>
    <w:qFormat/>
    <w:uiPriority w:val="0"/>
    <w:pPr>
      <w:widowControl w:val="0"/>
      <w:numPr>
        <w:ilvl w:val="3"/>
        <w:numId w:val="1"/>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24">
    <w:name w:val="标准文件_三级条标题"/>
    <w:basedOn w:val="23"/>
    <w:next w:val="21"/>
    <w:qFormat/>
    <w:uiPriority w:val="0"/>
    <w:pPr>
      <w:widowControl/>
      <w:numPr>
        <w:ilvl w:val="4"/>
      </w:numPr>
      <w:outlineLvl w:val="3"/>
    </w:pPr>
  </w:style>
  <w:style w:type="paragraph" w:customStyle="1" w:styleId="25">
    <w:name w:val="标准文件_四级条标题"/>
    <w:next w:val="21"/>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26">
    <w:name w:val="标准文件_五级条标题"/>
    <w:next w:val="21"/>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27">
    <w:name w:val="标准文件_章标题"/>
    <w:next w:val="21"/>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8">
    <w:name w:val="标准文件_一级条标题"/>
    <w:basedOn w:val="27"/>
    <w:next w:val="21"/>
    <w:qFormat/>
    <w:uiPriority w:val="0"/>
    <w:pPr>
      <w:numPr>
        <w:ilvl w:val="2"/>
      </w:numPr>
      <w:spacing w:before="50" w:beforeLines="50" w:after="50" w:afterLines="50"/>
      <w:outlineLvl w:val="1"/>
    </w:pPr>
  </w:style>
  <w:style w:type="paragraph" w:customStyle="1" w:styleId="29">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30">
    <w:name w:val="标准文件_正文表标题"/>
    <w:next w:val="21"/>
    <w:qFormat/>
    <w:uiPriority w:val="0"/>
    <w:pPr>
      <w:numPr>
        <w:ilvl w:val="0"/>
        <w:numId w:val="2"/>
      </w:numPr>
      <w:tabs>
        <w:tab w:val="left" w:pos="0"/>
      </w:tabs>
      <w:spacing w:before="50" w:beforeLines="50" w:after="50" w:afterLines="50"/>
      <w:jc w:val="center"/>
    </w:pPr>
    <w:rPr>
      <w:rFonts w:ascii="黑体" w:hAnsi="Times New Roman" w:eastAsia="黑体" w:cs="Times New Roman"/>
      <w:sz w:val="21"/>
      <w:lang w:val="en-US" w:eastAsia="zh-CN" w:bidi="ar-SA"/>
    </w:rPr>
  </w:style>
  <w:style w:type="character" w:customStyle="1" w:styleId="31">
    <w:name w:val="批注文字 字符"/>
    <w:basedOn w:val="13"/>
    <w:link w:val="6"/>
    <w:semiHidden/>
    <w:qFormat/>
    <w:uiPriority w:val="0"/>
    <w:rPr>
      <w:rFonts w:ascii="Calibri" w:hAnsi="Calibri"/>
      <w:kern w:val="2"/>
      <w:sz w:val="21"/>
      <w:szCs w:val="24"/>
    </w:rPr>
  </w:style>
  <w:style w:type="character" w:customStyle="1" w:styleId="32">
    <w:name w:val="批注主题 字符"/>
    <w:basedOn w:val="31"/>
    <w:link w:val="11"/>
    <w:semiHidden/>
    <w:qFormat/>
    <w:uiPriority w:val="0"/>
    <w:rPr>
      <w:rFonts w:ascii="Calibri" w:hAnsi="Calibri"/>
      <w:b/>
      <w:bCs/>
      <w:kern w:val="2"/>
      <w:sz w:val="21"/>
      <w:szCs w:val="24"/>
    </w:rPr>
  </w:style>
  <w:style w:type="character" w:customStyle="1" w:styleId="33">
    <w:name w:val="批注框文本 字符"/>
    <w:basedOn w:val="13"/>
    <w:link w:val="7"/>
    <w:qFormat/>
    <w:uiPriority w:val="0"/>
    <w:rPr>
      <w:rFonts w:ascii="Calibri" w:hAnsi="Calibri"/>
      <w:kern w:val="2"/>
      <w:sz w:val="18"/>
      <w:szCs w:val="18"/>
    </w:rPr>
  </w:style>
  <w:style w:type="paragraph" w:styleId="34">
    <w:name w:val="List Paragraph"/>
    <w:basedOn w:val="1"/>
    <w:qFormat/>
    <w:uiPriority w:val="34"/>
    <w:pPr>
      <w:ind w:firstLine="420" w:firstLineChars="200"/>
    </w:pPr>
  </w:style>
  <w:style w:type="paragraph" w:customStyle="1" w:styleId="35">
    <w:name w:val="标准文件_二级无标题"/>
    <w:basedOn w:val="23"/>
    <w:qFormat/>
    <w:uiPriority w:val="0"/>
    <w:pPr>
      <w:spacing w:before="0" w:beforeLines="0" w:after="0" w:afterLines="0"/>
      <w:outlineLvl w:val="9"/>
    </w:pPr>
    <w:rPr>
      <w:rFonts w:ascii="宋体" w:eastAsia="宋体"/>
    </w:rPr>
  </w:style>
  <w:style w:type="paragraph" w:customStyle="1" w:styleId="36">
    <w:name w:val="标准文件_注："/>
    <w:next w:val="21"/>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37">
    <w:name w:val="一级条标题"/>
    <w:next w:val="18"/>
    <w:qFormat/>
    <w:uiPriority w:val="0"/>
    <w:pPr>
      <w:numPr>
        <w:ilvl w:val="1"/>
        <w:numId w:val="4"/>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8">
    <w:name w:val="封面标准名称"/>
    <w:basedOn w:val="1"/>
    <w:qFormat/>
    <w:uiPriority w:val="0"/>
    <w:pPr>
      <w:keepNext w:val="0"/>
      <w:keepLines w:val="0"/>
      <w:widowControl w:val="0"/>
      <w:suppressLineNumbers w:val="0"/>
      <w:spacing w:before="0" w:beforeAutospacing="0" w:after="0" w:afterAutospacing="0" w:line="680" w:lineRule="exact"/>
      <w:ind w:left="0" w:right="0"/>
      <w:jc w:val="center"/>
      <w:textAlignment w:val="center"/>
    </w:pPr>
    <w:rPr>
      <w:rFonts w:hint="default" w:ascii="黑体" w:hAnsi="宋体" w:eastAsia="黑体" w:cs="黑体"/>
      <w:kern w:val="0"/>
      <w:sz w:val="52"/>
      <w:szCs w:val="52"/>
      <w:lang w:val="en-US" w:eastAsia="zh-CN" w:bidi="ar"/>
    </w:rPr>
  </w:style>
  <w:style w:type="paragraph" w:customStyle="1" w:styleId="39">
    <w:name w:val="章标题"/>
    <w:next w:val="18"/>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40">
    <w:name w:val="标准文件_二级项"/>
    <w:qFormat/>
    <w:uiPriority w:val="0"/>
    <w:rPr>
      <w:rFonts w:ascii="宋体" w:hAnsi="Times New Roman" w:eastAsia="宋体" w:cs="Times New Roman"/>
      <w:sz w:val="21"/>
      <w:lang w:val="en-US" w:eastAsia="zh-CN" w:bidi="ar-SA"/>
    </w:rPr>
  </w:style>
  <w:style w:type="paragraph" w:customStyle="1" w:styleId="41">
    <w:name w:val="标准文件_二级项2"/>
    <w:basedOn w:val="21"/>
    <w:qFormat/>
    <w:uiPriority w:val="0"/>
    <w:pPr>
      <w:numPr>
        <w:ilvl w:val="1"/>
        <w:numId w:val="5"/>
      </w:numPr>
      <w:ind w:left="1271" w:hanging="420" w:firstLineChars="0"/>
    </w:pPr>
  </w:style>
  <w:style w:type="paragraph" w:customStyle="1" w:styleId="42">
    <w:name w:val="标准文件_一级无标题"/>
    <w:basedOn w:val="28"/>
    <w:qFormat/>
    <w:uiPriority w:val="0"/>
    <w:pPr>
      <w:spacing w:beforeLines="0" w:afterLines="0"/>
      <w:outlineLvl w:val="9"/>
    </w:pPr>
    <w:rPr>
      <w:rFonts w:ascii="宋体"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4427</Words>
  <Characters>4566</Characters>
  <Lines>1</Lines>
  <Paragraphs>1</Paragraphs>
  <TotalTime>20</TotalTime>
  <ScaleCrop>false</ScaleCrop>
  <LinksUpToDate>false</LinksUpToDate>
  <CharactersWithSpaces>4653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Mac</dc:creator>
  <cp:lastModifiedBy>52431</cp:lastModifiedBy>
  <dcterms:modified xsi:type="dcterms:W3CDTF">2024-10-27T12:58:28Z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644597C87B5B471EA0235B1D1A90B177_13</vt:lpwstr>
  </property>
</Properties>
</file>